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hanging="0"/>
        <w:jc w:val="center"/>
        <w:rPr>
          <w:b/>
          <w:b/>
          <w:sz w:val="24"/>
          <w:szCs w:val="24"/>
        </w:rPr>
      </w:pPr>
      <w:r>
        <w:rPr>
          <w:b/>
          <w:sz w:val="24"/>
          <w:szCs w:val="24"/>
        </w:rPr>
        <w:t xml:space="preserve">Акционерное общество «Федеральный научно–производственный центр </w:t>
      </w:r>
    </w:p>
    <w:p>
      <w:pPr>
        <w:pStyle w:val="Normal"/>
        <w:spacing w:lineRule="auto" w:line="240"/>
        <w:ind w:hanging="0"/>
        <w:jc w:val="center"/>
        <w:rPr>
          <w:b/>
          <w:b/>
          <w:sz w:val="24"/>
          <w:szCs w:val="24"/>
        </w:rPr>
      </w:pPr>
      <w:r>
        <w:rPr>
          <w:b/>
          <w:sz w:val="24"/>
          <w:szCs w:val="24"/>
        </w:rPr>
        <w:t xml:space="preserve">«Производственное объединение «Старт» имени М.В. Проценко» </w:t>
      </w:r>
    </w:p>
    <w:p>
      <w:pPr>
        <w:pStyle w:val="Normal"/>
        <w:spacing w:lineRule="auto" w:line="240"/>
        <w:ind w:hanging="0"/>
        <w:jc w:val="center"/>
        <w:rPr>
          <w:b/>
          <w:b/>
          <w:sz w:val="24"/>
          <w:szCs w:val="24"/>
        </w:rPr>
      </w:pPr>
      <w:r>
        <w:rPr>
          <w:b/>
          <w:sz w:val="24"/>
          <w:szCs w:val="24"/>
        </w:rPr>
        <w:t>(АО «ФНПЦ «ПО «Старт» им. М.В. Проценко»)</w:t>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tabs>
          <w:tab w:val="clear" w:pos="708"/>
          <w:tab w:val="left" w:pos="7567" w:leader="none"/>
        </w:tabs>
        <w:spacing w:lineRule="auto" w:line="240"/>
        <w:ind w:hanging="0"/>
        <w:rPr>
          <w:b/>
          <w:b/>
          <w:sz w:val="24"/>
          <w:szCs w:val="24"/>
        </w:rPr>
      </w:pPr>
      <w:r>
        <w:rPr>
          <w:b/>
          <w:sz w:val="24"/>
          <w:szCs w:val="24"/>
        </w:rPr>
        <w:t xml:space="preserve">                                                                                                       </w:t>
      </w:r>
      <w:r>
        <w:rPr>
          <w:b/>
          <w:sz w:val="24"/>
          <w:szCs w:val="24"/>
        </w:rPr>
        <w:t>УТВЕРЖДАЮ</w:t>
      </w:r>
    </w:p>
    <w:p>
      <w:pPr>
        <w:pStyle w:val="Normal"/>
        <w:tabs>
          <w:tab w:val="clear" w:pos="708"/>
          <w:tab w:val="left" w:pos="7567" w:leader="none"/>
        </w:tabs>
        <w:spacing w:lineRule="auto" w:line="240"/>
        <w:ind w:hanging="0"/>
        <w:rPr>
          <w:sz w:val="24"/>
          <w:szCs w:val="24"/>
        </w:rPr>
      </w:pPr>
      <w:r>
        <w:rPr>
          <w:b/>
          <w:sz w:val="24"/>
          <w:szCs w:val="24"/>
        </w:rPr>
        <w:t xml:space="preserve">                                                                                                        </w:t>
      </w:r>
      <w:r>
        <w:rPr>
          <w:sz w:val="24"/>
          <w:szCs w:val="24"/>
        </w:rPr>
        <w:t>И.о. зам. генерального директора</w:t>
      </w:r>
    </w:p>
    <w:p>
      <w:pPr>
        <w:pStyle w:val="Normal"/>
        <w:tabs>
          <w:tab w:val="clear" w:pos="708"/>
          <w:tab w:val="left" w:pos="6240" w:leader="none"/>
        </w:tabs>
        <w:spacing w:lineRule="auto" w:line="240"/>
        <w:ind w:hanging="0"/>
        <w:rPr>
          <w:sz w:val="24"/>
          <w:szCs w:val="24"/>
        </w:rPr>
      </w:pPr>
      <w:r>
        <w:rPr>
          <w:b/>
          <w:sz w:val="24"/>
          <w:szCs w:val="24"/>
        </w:rPr>
        <w:tab/>
      </w:r>
      <w:r>
        <w:rPr>
          <w:sz w:val="24"/>
          <w:szCs w:val="24"/>
        </w:rPr>
        <w:t>по коммерческим вопросам</w:t>
      </w:r>
    </w:p>
    <w:p>
      <w:pPr>
        <w:pStyle w:val="Normal"/>
        <w:tabs>
          <w:tab w:val="clear" w:pos="708"/>
          <w:tab w:val="left" w:pos="6240" w:leader="none"/>
        </w:tabs>
        <w:spacing w:lineRule="auto" w:line="240"/>
        <w:ind w:hanging="0"/>
        <w:rPr>
          <w:sz w:val="24"/>
          <w:szCs w:val="24"/>
        </w:rPr>
      </w:pPr>
      <w:r>
        <w:rPr>
          <w:sz w:val="24"/>
          <w:szCs w:val="24"/>
        </w:rPr>
        <w:t xml:space="preserve">                                                                                                        </w:t>
      </w:r>
      <w:r>
        <w:rPr>
          <w:sz w:val="24"/>
          <w:szCs w:val="24"/>
        </w:rPr>
        <w:t>_____________А.Ю. Быстров</w:t>
      </w:r>
    </w:p>
    <w:p>
      <w:pPr>
        <w:pStyle w:val="Normal"/>
        <w:tabs>
          <w:tab w:val="clear" w:pos="708"/>
          <w:tab w:val="left" w:pos="6240" w:leader="none"/>
        </w:tabs>
        <w:spacing w:lineRule="auto" w:line="240"/>
        <w:ind w:hanging="0"/>
        <w:rPr/>
      </w:pPr>
      <w:r>
        <w:rPr>
          <w:sz w:val="24"/>
          <w:szCs w:val="24"/>
        </w:rPr>
        <w:t xml:space="preserve">                                                                                                        </w:t>
      </w:r>
      <w:r>
        <w:rPr>
          <w:sz w:val="24"/>
          <w:szCs w:val="24"/>
        </w:rPr>
        <w:t>«______»_____________2021 г.</w:t>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jc w:val="center"/>
        <w:rPr>
          <w:b/>
          <w:b/>
          <w:sz w:val="24"/>
          <w:szCs w:val="24"/>
        </w:rPr>
      </w:pPr>
      <w:r>
        <w:rPr>
          <w:b/>
          <w:sz w:val="24"/>
          <w:szCs w:val="24"/>
        </w:rPr>
        <w:t xml:space="preserve">ИНФОРМАЦИОННОЕ СООБЩЕНИЕ </w:t>
      </w:r>
    </w:p>
    <w:p>
      <w:pPr>
        <w:pStyle w:val="Normal"/>
        <w:spacing w:lineRule="auto" w:line="240"/>
        <w:jc w:val="center"/>
        <w:rPr>
          <w:b/>
          <w:b/>
          <w:sz w:val="24"/>
          <w:szCs w:val="24"/>
        </w:rPr>
      </w:pPr>
      <w:r>
        <w:rPr>
          <w:b/>
          <w:sz w:val="24"/>
          <w:szCs w:val="24"/>
        </w:rPr>
        <w:t xml:space="preserve">о проведение открытого аукциона (аукциона на повышении цены) </w:t>
      </w:r>
    </w:p>
    <w:p>
      <w:pPr>
        <w:pStyle w:val="Normal"/>
        <w:spacing w:lineRule="auto" w:line="240"/>
        <w:jc w:val="center"/>
        <w:rPr/>
      </w:pPr>
      <w:r>
        <w:rPr>
          <w:b/>
          <w:sz w:val="24"/>
          <w:szCs w:val="24"/>
        </w:rPr>
        <w:t>по заключению договора купли-продажи продуктов утилизации ядерных боеприпасов, ядерных зарядов, их составных частей и средств эксплуатации, а именно л</w:t>
      </w:r>
      <w:r>
        <w:rPr>
          <w:rStyle w:val="12"/>
          <w:b/>
          <w:kern w:val="2"/>
          <w:sz w:val="24"/>
          <w:szCs w:val="24"/>
        </w:rPr>
        <w:t>ом черных и цветных металлов</w:t>
      </w:r>
    </w:p>
    <w:p>
      <w:pPr>
        <w:pStyle w:val="Normal"/>
        <w:spacing w:lineRule="auto" w:line="240"/>
        <w:jc w:val="center"/>
        <w:rPr>
          <w:b/>
          <w:b/>
          <w:sz w:val="24"/>
          <w:szCs w:val="24"/>
        </w:rPr>
      </w:pPr>
      <w:r>
        <w:rPr>
          <w:b/>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t>2021</w:t>
      </w:r>
    </w:p>
    <w:p>
      <w:pPr>
        <w:pStyle w:val="Normal"/>
        <w:spacing w:lineRule="auto" w:line="240"/>
        <w:jc w:val="center"/>
        <w:rPr>
          <w:sz w:val="24"/>
          <w:szCs w:val="24"/>
        </w:rPr>
      </w:pPr>
      <w:r>
        <w:rPr>
          <w:sz w:val="24"/>
          <w:szCs w:val="24"/>
        </w:rPr>
      </w:r>
    </w:p>
    <w:p>
      <w:pPr>
        <w:pStyle w:val="ListParagraph"/>
        <w:numPr>
          <w:ilvl w:val="0"/>
          <w:numId w:val="2"/>
        </w:numPr>
        <w:spacing w:lineRule="auto" w:line="240" w:before="0" w:after="0"/>
        <w:ind w:left="1069" w:right="57" w:hanging="360"/>
        <w:contextualSpacing/>
        <w:jc w:val="center"/>
        <w:rPr>
          <w:b/>
          <w:b/>
          <w:sz w:val="24"/>
          <w:szCs w:val="24"/>
        </w:rPr>
      </w:pPr>
      <w:r>
        <w:rPr>
          <w:b/>
          <w:sz w:val="24"/>
          <w:szCs w:val="24"/>
        </w:rPr>
        <w:t>Основные понятия.</w:t>
      </w:r>
    </w:p>
    <w:p>
      <w:pPr>
        <w:pStyle w:val="ListParagraph"/>
        <w:spacing w:lineRule="auto" w:line="240" w:before="0" w:after="0"/>
        <w:ind w:left="709" w:right="57" w:hanging="0"/>
        <w:contextualSpacing/>
        <w:rPr>
          <w:b/>
          <w:b/>
          <w:sz w:val="8"/>
          <w:szCs w:val="16"/>
        </w:rPr>
      </w:pPr>
      <w:r>
        <w:rPr>
          <w:b/>
          <w:sz w:val="8"/>
          <w:szCs w:val="16"/>
        </w:rPr>
      </w:r>
    </w:p>
    <w:p>
      <w:pPr>
        <w:pStyle w:val="Normal"/>
        <w:spacing w:lineRule="auto" w:line="240" w:before="0" w:after="0"/>
        <w:ind w:left="142" w:firstLine="927"/>
        <w:contextualSpacing/>
        <w:jc w:val="both"/>
        <w:rPr>
          <w:sz w:val="24"/>
          <w:szCs w:val="24"/>
        </w:rPr>
      </w:pPr>
      <w:r>
        <w:rPr>
          <w:b/>
          <w:sz w:val="24"/>
          <w:szCs w:val="24"/>
        </w:rPr>
        <w:t>Имущество</w:t>
      </w:r>
      <w:r>
        <w:rPr>
          <w:sz w:val="24"/>
          <w:szCs w:val="24"/>
        </w:rPr>
        <w:t xml:space="preserve"> - имущество, находящееся в собственности Российской Федерации, права на которое передается по договору купли-продажи (далее – имущество).</w:t>
      </w:r>
    </w:p>
    <w:p>
      <w:pPr>
        <w:pStyle w:val="Normal"/>
        <w:spacing w:lineRule="auto" w:line="240" w:before="0" w:after="0"/>
        <w:ind w:left="142" w:firstLine="927"/>
        <w:contextualSpacing/>
        <w:jc w:val="both"/>
        <w:rPr>
          <w:sz w:val="24"/>
          <w:szCs w:val="24"/>
        </w:rPr>
      </w:pPr>
      <w:r>
        <w:rPr>
          <w:b/>
          <w:sz w:val="24"/>
          <w:szCs w:val="24"/>
        </w:rPr>
        <w:t xml:space="preserve">Лот </w:t>
      </w:r>
      <w:r>
        <w:rPr>
          <w:sz w:val="24"/>
          <w:szCs w:val="24"/>
        </w:rPr>
        <w:t>– имущество, являющееся предметом торгов, реализуемое в ходе проведения одной процедуры продажи (электронной продажи).</w:t>
      </w:r>
    </w:p>
    <w:p>
      <w:pPr>
        <w:pStyle w:val="Normal"/>
        <w:spacing w:lineRule="auto" w:line="240"/>
        <w:ind w:hanging="0"/>
        <w:rPr>
          <w:bCs/>
          <w:iCs/>
          <w:sz w:val="24"/>
          <w:szCs w:val="24"/>
        </w:rPr>
      </w:pPr>
      <w:r>
        <w:rPr>
          <w:b/>
          <w:color w:val="FF0000"/>
          <w:sz w:val="24"/>
          <w:szCs w:val="24"/>
        </w:rPr>
        <w:t xml:space="preserve">                  </w:t>
      </w:r>
      <w:r>
        <w:rPr>
          <w:b/>
          <w:sz w:val="24"/>
          <w:szCs w:val="24"/>
        </w:rPr>
        <w:t>Продавец</w:t>
      </w:r>
      <w:r>
        <w:rPr>
          <w:sz w:val="24"/>
          <w:szCs w:val="24"/>
        </w:rPr>
        <w:t xml:space="preserve"> – АО «ФНПЦ «ПО «Старт» им. М.В. Проценко»</w:t>
      </w:r>
      <w:r>
        <w:rPr>
          <w:bCs/>
          <w:iCs/>
          <w:sz w:val="24"/>
          <w:szCs w:val="24"/>
        </w:rPr>
        <w:t>.</w:t>
      </w:r>
    </w:p>
    <w:p>
      <w:pPr>
        <w:pStyle w:val="Normal"/>
        <w:spacing w:lineRule="auto" w:line="240"/>
        <w:ind w:hanging="0"/>
        <w:rPr>
          <w:bCs/>
          <w:iCs/>
          <w:sz w:val="24"/>
          <w:szCs w:val="24"/>
        </w:rPr>
      </w:pPr>
      <w:r>
        <w:rPr>
          <w:sz w:val="24"/>
          <w:szCs w:val="24"/>
        </w:rPr>
        <w:t xml:space="preserve">                  </w:t>
      </w:r>
      <w:r>
        <w:rPr>
          <w:b/>
          <w:sz w:val="24"/>
          <w:szCs w:val="24"/>
        </w:rPr>
        <w:t xml:space="preserve">Балансодержатель – </w:t>
      </w:r>
      <w:r>
        <w:rPr>
          <w:sz w:val="24"/>
          <w:szCs w:val="24"/>
        </w:rPr>
        <w:t>АО «ФНПЦ «ПО «Старт» им. М.В. Проценко»</w:t>
      </w:r>
      <w:r>
        <w:rPr>
          <w:bCs/>
          <w:iCs/>
          <w:sz w:val="24"/>
          <w:szCs w:val="24"/>
        </w:rPr>
        <w:t>.</w:t>
      </w:r>
    </w:p>
    <w:p>
      <w:pPr>
        <w:pStyle w:val="ListParagraph"/>
        <w:spacing w:lineRule="auto" w:line="240" w:before="0" w:after="0"/>
        <w:ind w:left="142" w:firstLine="927"/>
        <w:contextualSpacing/>
        <w:jc w:val="both"/>
        <w:rPr>
          <w:sz w:val="24"/>
          <w:szCs w:val="24"/>
          <w:lang w:eastAsia="ru-RU"/>
        </w:rPr>
      </w:pPr>
      <w:r>
        <w:rPr>
          <w:b/>
          <w:sz w:val="24"/>
          <w:szCs w:val="24"/>
          <w:lang w:eastAsia="ru-RU"/>
        </w:rPr>
        <w:t>Организатор</w:t>
      </w:r>
      <w:r>
        <w:rPr>
          <w:sz w:val="24"/>
          <w:szCs w:val="24"/>
          <w:lang w:eastAsia="ru-RU"/>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
    <w:p>
      <w:pPr>
        <w:pStyle w:val="Normal"/>
        <w:spacing w:lineRule="auto" w:line="240" w:before="0" w:after="0"/>
        <w:ind w:left="142" w:firstLine="927"/>
        <w:contextualSpacing/>
        <w:jc w:val="both"/>
        <w:rPr>
          <w:sz w:val="24"/>
          <w:szCs w:val="24"/>
        </w:rPr>
      </w:pPr>
      <w:r>
        <w:rPr>
          <w:b/>
          <w:sz w:val="24"/>
          <w:szCs w:val="24"/>
        </w:rPr>
        <w:t xml:space="preserve">Заявка </w:t>
      </w:r>
      <w:r>
        <w:rPr>
          <w:sz w:val="24"/>
          <w:szCs w:val="24"/>
        </w:rPr>
        <w:t xml:space="preserve">– комплект документов, представленный претендентом в срок и по форме, которые установлены в Информационном сообщении. </w:t>
      </w:r>
    </w:p>
    <w:p>
      <w:pPr>
        <w:pStyle w:val="Normal"/>
        <w:spacing w:lineRule="auto" w:line="240" w:before="0" w:after="0"/>
        <w:ind w:left="142" w:firstLine="927"/>
        <w:contextualSpacing/>
        <w:jc w:val="both"/>
        <w:rPr>
          <w:sz w:val="24"/>
          <w:szCs w:val="24"/>
        </w:rPr>
      </w:pPr>
      <w:r>
        <w:rPr>
          <w:b/>
          <w:sz w:val="24"/>
          <w:szCs w:val="24"/>
        </w:rPr>
        <w:t xml:space="preserve">Претендент </w:t>
      </w:r>
      <w:r>
        <w:rPr>
          <w:sz w:val="24"/>
          <w:szCs w:val="24"/>
        </w:rPr>
        <w:t>– юридическое лицо, физическое лицо или физическое лицо в качестве индивидуального предпринимателя, прошедшее процедуру регистрации в соответствии с Регламентом ЭТП, подавшее в установленном порядке заявку и документы для участия в продаже, намеревающееся принять участие в аукционе.</w:t>
      </w:r>
    </w:p>
    <w:p>
      <w:pPr>
        <w:pStyle w:val="Normal"/>
        <w:spacing w:lineRule="auto" w:line="240" w:before="0" w:after="0"/>
        <w:ind w:left="142" w:firstLine="927"/>
        <w:contextualSpacing/>
        <w:jc w:val="both"/>
        <w:rPr>
          <w:sz w:val="24"/>
          <w:szCs w:val="24"/>
        </w:rPr>
      </w:pPr>
      <w:r>
        <w:rPr>
          <w:b/>
          <w:bCs/>
          <w:sz w:val="24"/>
          <w:szCs w:val="24"/>
        </w:rPr>
        <w:t xml:space="preserve">Участник </w:t>
      </w:r>
      <w:r>
        <w:rPr>
          <w:sz w:val="24"/>
          <w:szCs w:val="24"/>
        </w:rPr>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аукционе.</w:t>
      </w:r>
    </w:p>
    <w:p>
      <w:pPr>
        <w:pStyle w:val="Normal"/>
        <w:spacing w:lineRule="auto" w:line="240" w:before="0" w:after="0"/>
        <w:ind w:left="142" w:firstLine="927"/>
        <w:contextualSpacing/>
        <w:jc w:val="both"/>
        <w:rPr>
          <w:sz w:val="24"/>
          <w:szCs w:val="24"/>
        </w:rPr>
      </w:pPr>
      <w:r>
        <w:rPr>
          <w:b/>
          <w:bCs/>
          <w:sz w:val="24"/>
          <w:szCs w:val="24"/>
        </w:rPr>
        <w:t>Победитель</w:t>
      </w:r>
      <w:r>
        <w:rPr>
          <w:sz w:val="24"/>
          <w:szCs w:val="24"/>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pPr>
        <w:pStyle w:val="Normal"/>
        <w:spacing w:lineRule="auto" w:line="240" w:before="0" w:after="0"/>
        <w:ind w:left="142" w:firstLine="927"/>
        <w:contextualSpacing/>
        <w:jc w:val="both"/>
        <w:rPr>
          <w:sz w:val="24"/>
          <w:szCs w:val="24"/>
        </w:rPr>
      </w:pPr>
      <w:r>
        <w:rPr>
          <w:b/>
          <w:sz w:val="24"/>
          <w:szCs w:val="24"/>
        </w:rPr>
        <w:t>Открытая часть электронной площадки</w:t>
      </w:r>
      <w:r>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pPr>
        <w:pStyle w:val="Normal"/>
        <w:spacing w:lineRule="auto" w:line="240" w:before="0" w:after="0"/>
        <w:ind w:left="142" w:firstLine="927"/>
        <w:contextualSpacing/>
        <w:jc w:val="both"/>
        <w:rPr>
          <w:spacing w:val="-4"/>
          <w:sz w:val="24"/>
          <w:szCs w:val="24"/>
        </w:rPr>
      </w:pPr>
      <w:r>
        <w:rPr>
          <w:b/>
          <w:spacing w:val="-4"/>
          <w:sz w:val="24"/>
          <w:szCs w:val="24"/>
        </w:rPr>
        <w:t>Закрытая часть электронной площадки</w:t>
      </w:r>
      <w:r>
        <w:rPr>
          <w:spacing w:val="-4"/>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pPr>
        <w:pStyle w:val="Normal"/>
        <w:spacing w:lineRule="auto" w:line="240" w:before="0" w:after="0"/>
        <w:ind w:left="142" w:firstLine="927"/>
        <w:contextualSpacing/>
        <w:jc w:val="both"/>
        <w:rPr>
          <w:sz w:val="24"/>
          <w:szCs w:val="24"/>
        </w:rPr>
      </w:pPr>
      <w:r>
        <w:rPr>
          <w:b/>
          <w:sz w:val="24"/>
          <w:szCs w:val="24"/>
        </w:rPr>
        <w:t>Электронная подпись</w:t>
      </w:r>
      <w:r>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pPr>
        <w:pStyle w:val="Normal"/>
        <w:spacing w:lineRule="auto" w:line="240" w:before="0" w:after="0"/>
        <w:ind w:left="142" w:firstLine="927"/>
        <w:contextualSpacing/>
        <w:jc w:val="both"/>
        <w:rPr>
          <w:sz w:val="24"/>
          <w:szCs w:val="24"/>
        </w:rPr>
      </w:pPr>
      <w:r>
        <w:rPr>
          <w:b/>
          <w:sz w:val="24"/>
          <w:szCs w:val="24"/>
        </w:rPr>
        <w:t>Электронный документ</w:t>
      </w:r>
      <w:r>
        <w:rPr>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pPr>
        <w:pStyle w:val="Normal"/>
        <w:spacing w:lineRule="auto" w:line="240" w:before="0" w:after="0"/>
        <w:ind w:left="142" w:firstLine="927"/>
        <w:contextualSpacing/>
        <w:jc w:val="both"/>
        <w:rPr>
          <w:sz w:val="24"/>
          <w:szCs w:val="24"/>
        </w:rPr>
      </w:pPr>
      <w:r>
        <w:rPr>
          <w:b/>
          <w:sz w:val="24"/>
          <w:szCs w:val="24"/>
        </w:rPr>
        <w:t>Электронный образ документа</w:t>
      </w:r>
      <w:r>
        <w:rPr>
          <w:sz w:val="24"/>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pPr>
        <w:pStyle w:val="Normal"/>
        <w:spacing w:lineRule="auto" w:line="240" w:before="0" w:after="0"/>
        <w:ind w:left="142" w:firstLine="927"/>
        <w:contextualSpacing/>
        <w:jc w:val="both"/>
        <w:rPr>
          <w:sz w:val="24"/>
          <w:szCs w:val="24"/>
        </w:rPr>
      </w:pPr>
      <w:r>
        <w:rPr>
          <w:b/>
          <w:sz w:val="24"/>
          <w:szCs w:val="24"/>
        </w:rPr>
        <w:t>Электронное сообщение (электронное уведомление)</w:t>
      </w:r>
      <w:r>
        <w:rPr>
          <w:sz w:val="24"/>
          <w:szCs w:val="24"/>
        </w:rPr>
        <w:t xml:space="preserve"> – информация, направляемая пользователями электронной площадки друг другу в процессе работы на электронной площадке.</w:t>
      </w:r>
    </w:p>
    <w:p>
      <w:pPr>
        <w:pStyle w:val="Normal"/>
        <w:spacing w:lineRule="auto" w:line="240" w:before="0" w:after="0"/>
        <w:ind w:left="142" w:firstLine="927"/>
        <w:contextualSpacing/>
        <w:jc w:val="both"/>
        <w:rPr>
          <w:sz w:val="24"/>
          <w:szCs w:val="24"/>
        </w:rPr>
      </w:pPr>
      <w:r>
        <w:rPr>
          <w:b/>
          <w:sz w:val="24"/>
          <w:szCs w:val="24"/>
        </w:rPr>
        <w:t>Электронный журнал</w:t>
      </w:r>
      <w:r>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w:t>
      </w:r>
    </w:p>
    <w:p>
      <w:pPr>
        <w:pStyle w:val="Normal"/>
        <w:spacing w:lineRule="auto" w:line="240" w:before="0" w:after="0"/>
        <w:ind w:left="142" w:firstLine="927"/>
        <w:contextualSpacing/>
        <w:jc w:val="both"/>
        <w:rPr>
          <w:sz w:val="24"/>
          <w:szCs w:val="24"/>
        </w:rPr>
      </w:pPr>
      <w:r>
        <w:rPr>
          <w:b/>
          <w:sz w:val="24"/>
          <w:szCs w:val="24"/>
        </w:rPr>
        <w:t>«Личный кабинет»</w:t>
      </w:r>
      <w:r>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pPr>
        <w:pStyle w:val="Normal"/>
        <w:spacing w:lineRule="auto" w:line="240" w:before="0" w:after="0"/>
        <w:ind w:left="142" w:firstLine="927"/>
        <w:contextualSpacing/>
        <w:jc w:val="both"/>
        <w:rPr>
          <w:sz w:val="24"/>
          <w:szCs w:val="24"/>
        </w:rPr>
      </w:pPr>
      <w:r>
        <w:rPr>
          <w:b/>
          <w:sz w:val="24"/>
          <w:szCs w:val="24"/>
        </w:rPr>
        <w:t>Официальные сайты по продаже имущества</w:t>
      </w:r>
      <w:r>
        <w:rPr>
          <w:sz w:val="24"/>
          <w:szCs w:val="24"/>
        </w:rPr>
        <w:t xml:space="preserve"> - официальный сайт Российской Федерации для размещения информации о проведении торгов в сети «Интернет» www.torgi.gov.ru, сайт Организатора в сети «Интернет» (электронной площадки).</w:t>
      </w:r>
    </w:p>
    <w:p>
      <w:pPr>
        <w:pStyle w:val="NoSpacing"/>
        <w:rPr>
          <w:rFonts w:ascii="Times New Roman" w:hAnsi="Times New Roman"/>
          <w:b/>
          <w:b/>
          <w:sz w:val="16"/>
          <w:szCs w:val="16"/>
          <w:lang w:val="ru-RU"/>
        </w:rPr>
      </w:pPr>
      <w:r>
        <w:rPr>
          <w:rFonts w:ascii="Times New Roman" w:hAnsi="Times New Roman"/>
          <w:b/>
          <w:sz w:val="16"/>
          <w:szCs w:val="16"/>
          <w:lang w:val="ru-RU"/>
        </w:rPr>
      </w:r>
    </w:p>
    <w:p>
      <w:pPr>
        <w:pStyle w:val="ListParagraph"/>
        <w:numPr>
          <w:ilvl w:val="0"/>
          <w:numId w:val="3"/>
        </w:numPr>
        <w:spacing w:lineRule="auto" w:line="240" w:before="0" w:after="0"/>
        <w:ind w:left="1069" w:right="57" w:hanging="360"/>
        <w:contextualSpacing/>
        <w:jc w:val="center"/>
        <w:rPr>
          <w:b/>
          <w:b/>
          <w:sz w:val="24"/>
          <w:szCs w:val="24"/>
          <w:lang w:eastAsia="ru-RU"/>
        </w:rPr>
      </w:pPr>
      <w:r>
        <w:rPr>
          <w:b/>
          <w:sz w:val="24"/>
          <w:szCs w:val="24"/>
          <w:lang w:eastAsia="ru-RU"/>
        </w:rPr>
        <w:t>Правовое регулирование.</w:t>
      </w:r>
    </w:p>
    <w:p>
      <w:pPr>
        <w:pStyle w:val="ListParagraph"/>
        <w:spacing w:lineRule="auto" w:line="240" w:before="0" w:after="0"/>
        <w:ind w:left="709" w:right="57" w:hanging="0"/>
        <w:contextualSpacing/>
        <w:rPr>
          <w:b/>
          <w:b/>
          <w:sz w:val="8"/>
          <w:szCs w:val="16"/>
          <w:lang w:eastAsia="ru-RU"/>
        </w:rPr>
      </w:pPr>
      <w:r>
        <w:rPr>
          <w:b/>
          <w:sz w:val="8"/>
          <w:szCs w:val="16"/>
          <w:lang w:eastAsia="ru-RU"/>
        </w:rPr>
      </w:r>
    </w:p>
    <w:p>
      <w:pPr>
        <w:pStyle w:val="Normal"/>
        <w:spacing w:lineRule="auto" w:line="240"/>
        <w:ind w:right="57" w:firstLine="567"/>
        <w:jc w:val="both"/>
        <w:rPr>
          <w:sz w:val="24"/>
          <w:szCs w:val="24"/>
        </w:rPr>
      </w:pPr>
      <w:r>
        <w:rPr>
          <w:sz w:val="24"/>
          <w:szCs w:val="24"/>
        </w:rPr>
        <w:t>Продажа имущества проводится в соответствии с:</w:t>
      </w:r>
    </w:p>
    <w:p>
      <w:pPr>
        <w:pStyle w:val="Normal"/>
        <w:widowControl/>
        <w:numPr>
          <w:ilvl w:val="0"/>
          <w:numId w:val="4"/>
        </w:numPr>
        <w:spacing w:lineRule="auto" w:line="240" w:before="0" w:after="0"/>
        <w:ind w:left="0" w:right="57" w:firstLine="567"/>
        <w:contextualSpacing/>
        <w:jc w:val="both"/>
        <w:rPr>
          <w:sz w:val="24"/>
          <w:szCs w:val="24"/>
        </w:rPr>
      </w:pPr>
      <w:r>
        <w:rPr>
          <w:sz w:val="24"/>
          <w:szCs w:val="24"/>
        </w:rPr>
        <w:t xml:space="preserve"> </w:t>
      </w:r>
      <w:r>
        <w:rPr>
          <w:sz w:val="24"/>
          <w:szCs w:val="24"/>
        </w:rPr>
        <w:t>Гражданским кодексом Российской Федерации;</w:t>
      </w:r>
    </w:p>
    <w:p>
      <w:pPr>
        <w:pStyle w:val="Normal"/>
        <w:widowControl/>
        <w:numPr>
          <w:ilvl w:val="0"/>
          <w:numId w:val="4"/>
        </w:numPr>
        <w:spacing w:lineRule="auto" w:line="240" w:before="0" w:after="0"/>
        <w:ind w:left="0" w:right="57" w:firstLine="567"/>
        <w:contextualSpacing/>
        <w:jc w:val="both"/>
        <w:rPr>
          <w:sz w:val="24"/>
          <w:szCs w:val="24"/>
        </w:rPr>
      </w:pPr>
      <w:r>
        <w:rPr>
          <w:sz w:val="24"/>
          <w:szCs w:val="24"/>
        </w:rPr>
        <w:t xml:space="preserve"> </w:t>
      </w:r>
      <w:r>
        <w:rPr>
          <w:sz w:val="24"/>
          <w:szCs w:val="24"/>
        </w:rPr>
        <w:t>Федеральным законом от 21.12.2001 N 178-ФЗ «О приватизации государственного и муниципального имущества»;</w:t>
      </w:r>
    </w:p>
    <w:p>
      <w:pPr>
        <w:pStyle w:val="Normal"/>
        <w:widowControl/>
        <w:numPr>
          <w:ilvl w:val="0"/>
          <w:numId w:val="4"/>
        </w:numPr>
        <w:spacing w:lineRule="auto" w:line="240" w:before="0" w:after="0"/>
        <w:ind w:left="0" w:right="57" w:firstLine="567"/>
        <w:contextualSpacing/>
        <w:jc w:val="both"/>
        <w:rPr>
          <w:sz w:val="24"/>
          <w:szCs w:val="24"/>
        </w:rPr>
      </w:pPr>
      <w:r>
        <w:rPr>
          <w:sz w:val="24"/>
          <w:szCs w:val="24"/>
        </w:rPr>
        <w:t xml:space="preserve"> </w:t>
      </w:r>
      <w:r>
        <w:rPr>
          <w:sz w:val="24"/>
          <w:szCs w:val="24"/>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pPr>
        <w:pStyle w:val="Normal"/>
        <w:widowControl/>
        <w:numPr>
          <w:ilvl w:val="0"/>
          <w:numId w:val="4"/>
        </w:numPr>
        <w:spacing w:lineRule="auto" w:line="240" w:before="0" w:after="0"/>
        <w:ind w:left="0" w:right="57" w:firstLine="567"/>
        <w:contextualSpacing/>
        <w:jc w:val="both"/>
        <w:rPr>
          <w:sz w:val="24"/>
          <w:szCs w:val="24"/>
        </w:rPr>
      </w:pPr>
      <w:r>
        <w:rPr>
          <w:sz w:val="24"/>
          <w:szCs w:val="24"/>
        </w:rPr>
        <w:t xml:space="preserve"> </w:t>
      </w:r>
      <w:r>
        <w:rPr>
          <w:sz w:val="24"/>
          <w:szCs w:val="24"/>
        </w:rPr>
        <w:t>Иными нормативными правовыми актами Российской Федерации.</w:t>
      </w:r>
    </w:p>
    <w:p>
      <w:pPr>
        <w:pStyle w:val="ListParagraph"/>
        <w:spacing w:lineRule="auto" w:line="240" w:before="0" w:after="0"/>
        <w:ind w:left="709" w:right="57" w:hanging="0"/>
        <w:contextualSpacing/>
        <w:rPr>
          <w:b/>
          <w:b/>
          <w:sz w:val="16"/>
          <w:szCs w:val="16"/>
          <w:lang w:eastAsia="ru-RU"/>
        </w:rPr>
      </w:pPr>
      <w:r>
        <w:rPr>
          <w:b/>
          <w:sz w:val="16"/>
          <w:szCs w:val="16"/>
          <w:lang w:eastAsia="ru-RU"/>
        </w:rPr>
      </w:r>
    </w:p>
    <w:p>
      <w:pPr>
        <w:pStyle w:val="Normal"/>
        <w:widowControl/>
        <w:numPr>
          <w:ilvl w:val="0"/>
          <w:numId w:val="3"/>
        </w:numPr>
        <w:tabs>
          <w:tab w:val="clear" w:pos="708"/>
          <w:tab w:val="left" w:pos="1134" w:leader="none"/>
        </w:tabs>
        <w:spacing w:lineRule="auto" w:line="240"/>
        <w:ind w:left="0" w:right="57" w:firstLine="709"/>
        <w:jc w:val="center"/>
        <w:rPr>
          <w:b/>
          <w:b/>
          <w:sz w:val="24"/>
          <w:szCs w:val="24"/>
        </w:rPr>
      </w:pPr>
      <w:r>
        <w:rPr>
          <w:b/>
          <w:sz w:val="24"/>
          <w:szCs w:val="24"/>
        </w:rPr>
        <w:t>Сведения об аукционе.</w:t>
      </w:r>
    </w:p>
    <w:p>
      <w:pPr>
        <w:pStyle w:val="Normal"/>
        <w:widowControl/>
        <w:tabs>
          <w:tab w:val="clear" w:pos="708"/>
          <w:tab w:val="left" w:pos="1134" w:leader="none"/>
        </w:tabs>
        <w:spacing w:lineRule="auto" w:line="240"/>
        <w:ind w:right="57" w:hanging="0"/>
        <w:rPr>
          <w:b/>
          <w:b/>
          <w:sz w:val="8"/>
          <w:szCs w:val="16"/>
        </w:rPr>
      </w:pPr>
      <w:r>
        <w:rPr>
          <w:b/>
          <w:sz w:val="8"/>
          <w:szCs w:val="16"/>
        </w:rPr>
      </w:r>
    </w:p>
    <w:p>
      <w:pPr>
        <w:pStyle w:val="Normal"/>
        <w:spacing w:lineRule="auto" w:line="240" w:before="0" w:after="0"/>
        <w:ind w:right="57" w:hanging="0"/>
        <w:contextualSpacing/>
        <w:jc w:val="both"/>
        <w:rPr>
          <w:sz w:val="24"/>
          <w:szCs w:val="24"/>
        </w:rPr>
      </w:pPr>
      <w:r>
        <w:rPr>
          <w:b/>
          <w:sz w:val="24"/>
          <w:szCs w:val="24"/>
        </w:rPr>
        <w:t xml:space="preserve">        </w:t>
      </w:r>
      <w:r>
        <w:rPr>
          <w:b/>
          <w:sz w:val="24"/>
          <w:szCs w:val="24"/>
        </w:rPr>
        <w:t xml:space="preserve">Основание проведения аукциона – </w:t>
      </w:r>
      <w:r>
        <w:rPr>
          <w:color w:val="000000"/>
          <w:sz w:val="24"/>
          <w:szCs w:val="24"/>
        </w:rPr>
        <w:t>приказ Госкорпорации «Росатом №1/696-П-дсп от 03.06.2021.</w:t>
      </w:r>
    </w:p>
    <w:p>
      <w:pPr>
        <w:pStyle w:val="Normal"/>
        <w:spacing w:lineRule="auto" w:line="240" w:before="0" w:after="0"/>
        <w:ind w:right="57" w:hanging="0"/>
        <w:contextualSpacing/>
        <w:jc w:val="both"/>
        <w:rPr>
          <w:sz w:val="24"/>
          <w:szCs w:val="24"/>
        </w:rPr>
      </w:pPr>
      <w:r>
        <w:rPr>
          <w:b/>
          <w:sz w:val="24"/>
          <w:szCs w:val="24"/>
        </w:rPr>
        <w:t xml:space="preserve">        </w:t>
      </w:r>
      <w:r>
        <w:rPr>
          <w:b/>
          <w:sz w:val="24"/>
          <w:szCs w:val="24"/>
        </w:rPr>
        <w:t>Собственник имущества</w:t>
      </w:r>
      <w:r>
        <w:rPr>
          <w:sz w:val="24"/>
          <w:szCs w:val="24"/>
        </w:rPr>
        <w:t xml:space="preserve"> - Российская Федерация.</w:t>
      </w:r>
    </w:p>
    <w:p>
      <w:pPr>
        <w:pStyle w:val="Style20"/>
        <w:rPr/>
      </w:pPr>
      <w:r>
        <w:rPr>
          <w:b/>
        </w:rPr>
        <w:t xml:space="preserve">        </w:t>
      </w:r>
      <w:r>
        <w:rPr>
          <w:b/>
        </w:rPr>
        <w:t>Балансодержатель</w:t>
      </w:r>
      <w:r>
        <w:rPr/>
        <w:t xml:space="preserve"> – АО «ФНПЦ «ПО «Старт» им. М.В. Проценко».</w:t>
      </w:r>
    </w:p>
    <w:p>
      <w:pPr>
        <w:pStyle w:val="Normal"/>
        <w:spacing w:lineRule="auto" w:line="240"/>
        <w:ind w:hanging="0"/>
        <w:jc w:val="both"/>
        <w:rPr>
          <w:sz w:val="24"/>
          <w:szCs w:val="24"/>
        </w:rPr>
      </w:pPr>
      <w:r>
        <w:rPr>
          <w:b/>
          <w:sz w:val="24"/>
          <w:szCs w:val="24"/>
        </w:rPr>
        <w:t xml:space="preserve">        </w:t>
      </w:r>
      <w:r>
        <w:rPr>
          <w:b/>
          <w:sz w:val="24"/>
          <w:szCs w:val="24"/>
        </w:rPr>
        <w:t>Продавец (организатор торгов)</w:t>
      </w:r>
      <w:r>
        <w:rPr>
          <w:sz w:val="24"/>
          <w:szCs w:val="24"/>
        </w:rPr>
        <w:t xml:space="preserve"> – АО «ФНПЦ «ПО «Старт» им. М.В. Проценко».</w:t>
      </w:r>
    </w:p>
    <w:p>
      <w:pPr>
        <w:pStyle w:val="Style24"/>
        <w:widowControl w:val="false"/>
        <w:tabs>
          <w:tab w:val="clear" w:pos="708"/>
          <w:tab w:val="left" w:pos="1080" w:leader="none"/>
        </w:tabs>
        <w:ind w:left="-142" w:firstLine="567"/>
        <w:rPr/>
      </w:pPr>
      <w:r>
        <w:rPr>
          <w:b/>
        </w:rPr>
        <w:t xml:space="preserve"> </w:t>
      </w:r>
      <w:r>
        <w:rPr>
          <w:b/>
        </w:rPr>
        <w:t>Контактное лицо</w:t>
      </w:r>
      <w:r>
        <w:rPr/>
        <w:t xml:space="preserve"> –  Бакунин Андрей Владимирович  (8412) 23-29-87, </w:t>
      </w:r>
      <w:hyperlink r:id="rId2">
        <w:r>
          <w:rPr>
            <w:rStyle w:val="25"/>
            <w:rFonts w:ascii="Times New Roman;serif" w:hAnsi="Times New Roman;serif"/>
            <w:kern w:val="2"/>
            <w:sz w:val="24"/>
            <w:lang w:eastAsia="zh-CN"/>
          </w:rPr>
          <w:t>s</w:t>
        </w:r>
      </w:hyperlink>
      <w:hyperlink r:id="rId3">
        <w:r>
          <w:rPr>
            <w:rStyle w:val="25"/>
            <w:rFonts w:ascii="Times New Roman;serif" w:hAnsi="Times New Roman;serif"/>
            <w:kern w:val="2"/>
            <w:sz w:val="24"/>
            <w:lang w:val="en-US" w:eastAsia="zh-CN"/>
          </w:rPr>
          <w:t>klad</w:t>
        </w:r>
      </w:hyperlink>
      <w:hyperlink r:id="rId4">
        <w:r>
          <w:rPr>
            <w:rStyle w:val="25"/>
            <w:rFonts w:ascii="Times New Roman;serif" w:hAnsi="Times New Roman;serif"/>
            <w:kern w:val="2"/>
            <w:sz w:val="24"/>
            <w:lang w:eastAsia="zh-CN"/>
          </w:rPr>
          <w:t>@startatom.ru</w:t>
        </w:r>
      </w:hyperlink>
    </w:p>
    <w:p>
      <w:pPr>
        <w:pStyle w:val="Normal"/>
        <w:tabs>
          <w:tab w:val="clear" w:pos="708"/>
          <w:tab w:val="left" w:pos="0" w:leader="none"/>
        </w:tabs>
        <w:spacing w:lineRule="auto" w:line="240"/>
        <w:ind w:hanging="0"/>
        <w:jc w:val="both"/>
        <w:rPr>
          <w:b/>
          <w:b/>
          <w:sz w:val="24"/>
          <w:szCs w:val="24"/>
        </w:rPr>
      </w:pPr>
      <w:r>
        <w:rPr>
          <w:b/>
          <w:sz w:val="24"/>
          <w:szCs w:val="24"/>
        </w:rPr>
        <w:t xml:space="preserve">        </w:t>
      </w:r>
      <w:r>
        <w:rPr>
          <w:b/>
          <w:sz w:val="24"/>
          <w:szCs w:val="24"/>
        </w:rPr>
        <w:t xml:space="preserve">Организатор торгов: </w:t>
      </w:r>
      <w:r>
        <w:rPr>
          <w:sz w:val="24"/>
          <w:szCs w:val="24"/>
        </w:rPr>
        <w:t>Наименование – Акционерное общество «Единая электронная торговая площадка» (АО «ЕЭТП»).</w:t>
      </w:r>
    </w:p>
    <w:p>
      <w:pPr>
        <w:pStyle w:val="ListParagraph"/>
        <w:spacing w:lineRule="auto" w:line="240" w:before="0" w:after="0"/>
        <w:ind w:left="0" w:right="57" w:hanging="0"/>
        <w:contextualSpacing/>
        <w:jc w:val="both"/>
        <w:rPr>
          <w:sz w:val="24"/>
          <w:szCs w:val="24"/>
        </w:rPr>
      </w:pPr>
      <w:r>
        <w:rPr>
          <w:b/>
          <w:sz w:val="24"/>
          <w:szCs w:val="24"/>
        </w:rPr>
        <w:t xml:space="preserve">       </w:t>
      </w:r>
      <w:r>
        <w:rPr>
          <w:b/>
          <w:sz w:val="24"/>
          <w:szCs w:val="24"/>
        </w:rPr>
        <w:t>Адрес</w:t>
      </w:r>
      <w:r>
        <w:rPr>
          <w:sz w:val="24"/>
          <w:szCs w:val="24"/>
        </w:rPr>
        <w:t xml:space="preserve"> - 115114, г. Москва, ул. Кожевническая, д. 14, стр. 5. </w:t>
      </w:r>
    </w:p>
    <w:p>
      <w:pPr>
        <w:pStyle w:val="Normal"/>
        <w:spacing w:lineRule="auto" w:line="240" w:before="0" w:after="0"/>
        <w:ind w:right="57" w:firstLine="425"/>
        <w:contextualSpacing/>
        <w:jc w:val="both"/>
        <w:rPr>
          <w:sz w:val="24"/>
          <w:szCs w:val="24"/>
        </w:rPr>
      </w:pPr>
      <w:r>
        <w:rPr>
          <w:b/>
          <w:sz w:val="24"/>
          <w:szCs w:val="24"/>
        </w:rPr>
        <w:t>Сайт</w:t>
      </w:r>
      <w:r>
        <w:rPr>
          <w:sz w:val="24"/>
          <w:szCs w:val="24"/>
        </w:rPr>
        <w:t xml:space="preserve"> - https://www.roseltorg.ru </w:t>
      </w:r>
    </w:p>
    <w:p>
      <w:pPr>
        <w:pStyle w:val="Normal"/>
        <w:spacing w:lineRule="auto" w:line="240" w:before="0" w:after="0"/>
        <w:ind w:right="57" w:hanging="0"/>
        <w:contextualSpacing/>
        <w:jc w:val="both"/>
        <w:rPr/>
      </w:pPr>
      <w:r>
        <w:rPr>
          <w:b/>
          <w:sz w:val="24"/>
          <w:szCs w:val="24"/>
        </w:rPr>
        <w:t xml:space="preserve">              </w:t>
      </w:r>
      <w:r>
        <w:rPr>
          <w:b/>
          <w:sz w:val="24"/>
          <w:szCs w:val="24"/>
        </w:rPr>
        <w:t xml:space="preserve">Форма аукциона – </w:t>
      </w:r>
      <w:r>
        <w:rPr>
          <w:sz w:val="24"/>
          <w:szCs w:val="24"/>
        </w:rPr>
        <w:t>аукцион на повышение цены</w:t>
      </w:r>
      <w:r>
        <w:rPr>
          <w:b/>
          <w:sz w:val="24"/>
          <w:szCs w:val="24"/>
        </w:rPr>
        <w:t xml:space="preserve"> </w:t>
      </w:r>
      <w:r>
        <w:rPr>
          <w:sz w:val="24"/>
          <w:szCs w:val="24"/>
        </w:rPr>
        <w:t>в электронной форме.</w:t>
      </w:r>
    </w:p>
    <w:p>
      <w:pPr>
        <w:pStyle w:val="Normal"/>
        <w:spacing w:lineRule="auto" w:line="240" w:before="0" w:after="0"/>
        <w:ind w:right="57" w:firstLine="425"/>
        <w:contextualSpacing/>
        <w:jc w:val="both"/>
        <w:rPr>
          <w:sz w:val="16"/>
          <w:szCs w:val="16"/>
        </w:rPr>
      </w:pPr>
      <w:r>
        <w:rPr>
          <w:sz w:val="16"/>
          <w:szCs w:val="16"/>
        </w:rPr>
      </w:r>
    </w:p>
    <w:p>
      <w:pPr>
        <w:pStyle w:val="NoSpacing"/>
        <w:tabs>
          <w:tab w:val="clear" w:pos="708"/>
          <w:tab w:val="left" w:pos="4355" w:leader="none"/>
        </w:tabs>
        <w:ind w:left="709" w:firstLine="560"/>
        <w:jc w:val="center"/>
        <w:rPr>
          <w:rFonts w:ascii="Times New Roman" w:hAnsi="Times New Roman"/>
          <w:b/>
          <w:b/>
          <w:sz w:val="24"/>
          <w:szCs w:val="24"/>
          <w:lang w:val="ru-RU"/>
        </w:rPr>
      </w:pPr>
      <w:r>
        <w:rPr>
          <w:rFonts w:ascii="Times New Roman" w:hAnsi="Times New Roman"/>
          <w:b/>
          <w:sz w:val="24"/>
          <w:szCs w:val="24"/>
          <w:lang w:val="ru-RU" w:eastAsia="ru-RU"/>
        </w:rPr>
        <w:t>4. Сведения об имуществе.</w:t>
      </w:r>
    </w:p>
    <w:p>
      <w:pPr>
        <w:pStyle w:val="NoSpacing"/>
        <w:tabs>
          <w:tab w:val="clear" w:pos="708"/>
          <w:tab w:val="left" w:pos="4355" w:leader="none"/>
        </w:tabs>
        <w:ind w:left="709" w:firstLine="560"/>
        <w:rPr>
          <w:rFonts w:ascii="Times New Roman" w:hAnsi="Times New Roman"/>
          <w:b/>
          <w:b/>
          <w:sz w:val="8"/>
          <w:szCs w:val="16"/>
          <w:lang w:val="ru-RU"/>
        </w:rPr>
      </w:pPr>
      <w:r>
        <w:rPr>
          <w:rFonts w:ascii="Times New Roman" w:hAnsi="Times New Roman"/>
          <w:b/>
          <w:sz w:val="16"/>
          <w:szCs w:val="16"/>
          <w:lang w:val="ru-RU"/>
        </w:rPr>
        <w:t xml:space="preserve">        </w:t>
      </w:r>
    </w:p>
    <w:p>
      <w:pPr>
        <w:pStyle w:val="NoSpacing"/>
        <w:rPr>
          <w:lang w:val="ru-RU"/>
        </w:rPr>
      </w:pPr>
      <w:r>
        <w:rPr>
          <w:rFonts w:ascii="Times New Roman" w:hAnsi="Times New Roman"/>
          <w:b/>
          <w:sz w:val="24"/>
          <w:szCs w:val="24"/>
          <w:lang w:val="ru-RU"/>
        </w:rPr>
        <w:t xml:space="preserve">         </w:t>
      </w:r>
      <w:r>
        <w:rPr>
          <w:rFonts w:ascii="Times New Roman" w:hAnsi="Times New Roman"/>
          <w:b/>
          <w:sz w:val="24"/>
          <w:szCs w:val="24"/>
          <w:lang w:val="ru-RU"/>
        </w:rPr>
        <w:t>Лот № 2</w:t>
      </w:r>
    </w:p>
    <w:p>
      <w:pPr>
        <w:pStyle w:val="Default"/>
        <w:tabs>
          <w:tab w:val="clear" w:pos="708"/>
          <w:tab w:val="left" w:pos="284" w:leader="none"/>
          <w:tab w:val="left" w:pos="426" w:leader="none"/>
          <w:tab w:val="left" w:pos="1134" w:leader="none"/>
          <w:tab w:val="left" w:pos="1418" w:leader="none"/>
        </w:tabs>
        <w:ind w:right="-142" w:firstLine="560"/>
        <w:jc w:val="both"/>
        <w:rPr>
          <w:color w:val="auto"/>
          <w:sz w:val="4"/>
          <w:szCs w:val="16"/>
        </w:rPr>
      </w:pPr>
      <w:r>
        <w:rPr>
          <w:color w:val="auto"/>
          <w:sz w:val="4"/>
          <w:szCs w:val="16"/>
        </w:rPr>
      </w:r>
    </w:p>
    <w:p>
      <w:pPr>
        <w:pStyle w:val="Normal"/>
        <w:spacing w:lineRule="auto" w:line="240"/>
        <w:jc w:val="both"/>
        <w:rPr/>
      </w:pPr>
      <w:r>
        <w:rPr>
          <w:b/>
          <w:sz w:val="24"/>
          <w:szCs w:val="24"/>
        </w:rPr>
        <w:t>Наименование имущества</w:t>
      </w:r>
      <w:r>
        <w:rPr>
          <w:sz w:val="24"/>
          <w:szCs w:val="24"/>
        </w:rPr>
        <w:t>: продукты утилизации ядерных боеприпасов, ядерных зарядов, их составных частей и средств эксплуатации, а именно л</w:t>
      </w:r>
      <w:r>
        <w:rPr>
          <w:rStyle w:val="12"/>
          <w:kern w:val="2"/>
          <w:sz w:val="24"/>
          <w:szCs w:val="24"/>
        </w:rPr>
        <w:t>ом черных и цветных металлов:</w:t>
      </w:r>
    </w:p>
    <w:p>
      <w:pPr>
        <w:pStyle w:val="Normal"/>
        <w:spacing w:lineRule="auto" w:line="240"/>
        <w:jc w:val="both"/>
        <w:rPr>
          <w:rStyle w:val="12"/>
          <w:kern w:val="2"/>
          <w:sz w:val="24"/>
          <w:szCs w:val="24"/>
        </w:rPr>
      </w:pPr>
      <w:r>
        <w:rPr>
          <w:kern w:val="2"/>
          <w:sz w:val="24"/>
          <w:szCs w:val="24"/>
        </w:rPr>
      </w:r>
    </w:p>
    <w:tbl>
      <w:tblPr>
        <w:tblW w:w="8852" w:type="dxa"/>
        <w:jc w:val="left"/>
        <w:tblInd w:w="852" w:type="dxa"/>
        <w:tblCellMar>
          <w:top w:w="0" w:type="dxa"/>
          <w:left w:w="108" w:type="dxa"/>
          <w:bottom w:w="0" w:type="dxa"/>
          <w:right w:w="108" w:type="dxa"/>
        </w:tblCellMar>
        <w:tblLook w:firstRow="1" w:noVBand="1" w:lastRow="0" w:firstColumn="1" w:lastColumn="0" w:noHBand="0" w:val="04a0"/>
      </w:tblPr>
      <w:tblGrid>
        <w:gridCol w:w="609"/>
        <w:gridCol w:w="2628"/>
        <w:gridCol w:w="1547"/>
        <w:gridCol w:w="1836"/>
        <w:gridCol w:w="2"/>
        <w:gridCol w:w="2230"/>
      </w:tblGrid>
      <w:tr>
        <w:trPr>
          <w:trHeight w:val="382" w:hRule="atLeast"/>
        </w:trPr>
        <w:tc>
          <w:tcPr>
            <w:tcW w:w="609"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08"/>
                <w:tab w:val="left" w:pos="5055" w:leader="none"/>
                <w:tab w:val="left" w:pos="6677" w:leader="none"/>
              </w:tabs>
              <w:ind w:hanging="0"/>
              <w:rPr>
                <w:b/>
                <w:b/>
                <w:sz w:val="20"/>
              </w:rPr>
            </w:pPr>
            <w:r>
              <w:rPr>
                <w:b/>
                <w:sz w:val="20"/>
              </w:rPr>
              <w:t xml:space="preserve">   № </w:t>
            </w:r>
          </w:p>
          <w:p>
            <w:pPr>
              <w:pStyle w:val="Normal"/>
              <w:tabs>
                <w:tab w:val="clear" w:pos="708"/>
                <w:tab w:val="left" w:pos="5055" w:leader="none"/>
                <w:tab w:val="left" w:pos="6677" w:leader="none"/>
              </w:tabs>
              <w:ind w:hanging="0"/>
              <w:rPr>
                <w:b/>
                <w:b/>
                <w:sz w:val="20"/>
              </w:rPr>
            </w:pPr>
            <w:r>
              <w:rPr>
                <w:b/>
                <w:sz w:val="20"/>
              </w:rPr>
              <w:t xml:space="preserve">   </w:t>
            </w:r>
            <w:r>
              <w:rPr>
                <w:b/>
                <w:sz w:val="20"/>
              </w:rPr>
              <w:t>п/п</w:t>
            </w:r>
          </w:p>
        </w:tc>
        <w:tc>
          <w:tcPr>
            <w:tcW w:w="26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b/>
                <w:b/>
                <w:sz w:val="20"/>
              </w:rPr>
            </w:pPr>
            <w:r>
              <w:rPr>
                <w:b/>
                <w:sz w:val="20"/>
              </w:rPr>
              <w:t>Марка (тип) продуктов утилизации</w:t>
            </w:r>
          </w:p>
        </w:tc>
        <w:tc>
          <w:tcPr>
            <w:tcW w:w="15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jc w:val="center"/>
              <w:rPr>
                <w:b/>
                <w:b/>
                <w:sz w:val="20"/>
              </w:rPr>
            </w:pPr>
            <w:r>
              <w:rPr>
                <w:b/>
                <w:sz w:val="20"/>
              </w:rPr>
              <w:t>Кол-во,</w:t>
            </w:r>
          </w:p>
          <w:p>
            <w:pPr>
              <w:pStyle w:val="Normal"/>
              <w:tabs>
                <w:tab w:val="clear" w:pos="708"/>
                <w:tab w:val="left" w:pos="5055" w:leader="none"/>
                <w:tab w:val="left" w:pos="6677" w:leader="none"/>
              </w:tabs>
              <w:jc w:val="center"/>
              <w:rPr>
                <w:b/>
                <w:b/>
                <w:sz w:val="20"/>
              </w:rPr>
            </w:pPr>
            <w:r>
              <w:rPr>
                <w:b/>
                <w:sz w:val="20"/>
              </w:rPr>
              <w:t>кг</w:t>
            </w:r>
          </w:p>
        </w:tc>
        <w:tc>
          <w:tcPr>
            <w:tcW w:w="1836" w:type="dxa"/>
            <w:tcBorders>
              <w:top w:val="single" w:sz="4" w:space="0" w:color="00000A"/>
              <w:left w:val="single" w:sz="4" w:space="0" w:color="00000A"/>
              <w:bottom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b/>
                <w:b/>
                <w:sz w:val="20"/>
              </w:rPr>
            </w:pPr>
            <w:r>
              <w:rPr>
                <w:b/>
                <w:sz w:val="20"/>
              </w:rPr>
              <w:t>Начальная цена за кг, руб. (без НДС)</w:t>
            </w:r>
          </w:p>
        </w:tc>
        <w:tc>
          <w:tcPr>
            <w:tcW w:w="2232"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b/>
                <w:b/>
                <w:sz w:val="20"/>
              </w:rPr>
            </w:pPr>
            <w:r>
              <w:rPr>
                <w:b/>
                <w:sz w:val="20"/>
              </w:rPr>
              <w:t>Начальная цена, руб. (без НДС)</w:t>
            </w:r>
          </w:p>
        </w:tc>
      </w:tr>
      <w:tr>
        <w:trPr/>
        <w:tc>
          <w:tcPr>
            <w:tcW w:w="609"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08"/>
                <w:tab w:val="left" w:pos="5055" w:leader="none"/>
                <w:tab w:val="left" w:pos="6677" w:leader="none"/>
              </w:tabs>
              <w:ind w:hanging="0"/>
              <w:rPr>
                <w:sz w:val="20"/>
              </w:rPr>
            </w:pPr>
            <w:r>
              <w:rPr>
                <w:sz w:val="20"/>
              </w:rPr>
              <w:t xml:space="preserve">   </w:t>
            </w:r>
            <w:r>
              <w:rPr>
                <w:sz w:val="20"/>
              </w:rPr>
              <w:t>1.</w:t>
            </w:r>
          </w:p>
        </w:tc>
        <w:tc>
          <w:tcPr>
            <w:tcW w:w="6013" w:type="dxa"/>
            <w:gridSpan w:val="4"/>
            <w:tcBorders>
              <w:top w:val="single" w:sz="4" w:space="0" w:color="00000A"/>
              <w:left w:val="single" w:sz="4" w:space="0" w:color="00000A"/>
              <w:bottom w:val="single" w:sz="4" w:space="0" w:color="00000A"/>
            </w:tcBorders>
            <w:shd w:color="auto" w:fill="auto" w:val="clear"/>
            <w:vAlign w:val="center"/>
          </w:tcPr>
          <w:p>
            <w:pPr>
              <w:pStyle w:val="Normal"/>
              <w:tabs>
                <w:tab w:val="clear" w:pos="708"/>
                <w:tab w:val="left" w:pos="5055" w:leader="none"/>
                <w:tab w:val="left" w:pos="6677" w:leader="none"/>
              </w:tabs>
              <w:ind w:firstLine="33"/>
              <w:rPr/>
            </w:pPr>
            <w:r>
              <w:rPr>
                <w:rStyle w:val="12"/>
                <w:kern w:val="2"/>
                <w:sz w:val="20"/>
              </w:rPr>
              <w:t>Лом черных и цветных металлов:</w:t>
            </w:r>
          </w:p>
        </w:tc>
        <w:tc>
          <w:tcPr>
            <w:tcW w:w="223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firstLine="33"/>
              <w:rPr/>
            </w:pPr>
            <w:r>
              <w:rPr/>
            </w:r>
          </w:p>
        </w:tc>
      </w:tr>
      <w:tr>
        <w:trPr/>
        <w:tc>
          <w:tcPr>
            <w:tcW w:w="6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left="-441" w:firstLine="437"/>
              <w:jc w:val="center"/>
              <w:rPr>
                <w:sz w:val="20"/>
              </w:rPr>
            </w:pPr>
            <w:r>
              <w:rPr>
                <w:sz w:val="20"/>
              </w:rPr>
              <w:t>1.1</w:t>
            </w:r>
          </w:p>
        </w:tc>
        <w:tc>
          <w:tcPr>
            <w:tcW w:w="26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yle20"/>
              <w:tabs>
                <w:tab w:val="clear" w:pos="708"/>
                <w:tab w:val="left" w:pos="569" w:leader="none"/>
              </w:tabs>
              <w:rPr>
                <w:sz w:val="20"/>
                <w:szCs w:val="20"/>
              </w:rPr>
            </w:pPr>
            <w:r>
              <w:rPr>
                <w:sz w:val="20"/>
                <w:szCs w:val="20"/>
              </w:rPr>
              <w:t>Стали конструкционные углеродистые и т.п.</w:t>
            </w:r>
          </w:p>
          <w:p>
            <w:pPr>
              <w:pStyle w:val="Style20"/>
              <w:rPr>
                <w:sz w:val="20"/>
                <w:szCs w:val="20"/>
              </w:rPr>
            </w:pPr>
            <w:r>
              <w:rPr>
                <w:sz w:val="20"/>
                <w:szCs w:val="20"/>
              </w:rPr>
              <w:t> </w:t>
            </w:r>
            <w:r>
              <w:rPr>
                <w:rFonts w:ascii="Times New Roman;serif" w:hAnsi="Times New Roman;serif"/>
                <w:sz w:val="20"/>
                <w:szCs w:val="20"/>
              </w:rPr>
              <w:t>(Лом стальной 12А)</w:t>
            </w:r>
            <w:r>
              <w:rPr>
                <w:sz w:val="20"/>
                <w:szCs w:val="20"/>
              </w:rPr>
              <w:t xml:space="preserve"> </w:t>
            </w:r>
          </w:p>
        </w:tc>
        <w:tc>
          <w:tcPr>
            <w:tcW w:w="15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hanging="0"/>
              <w:jc w:val="center"/>
              <w:rPr>
                <w:sz w:val="20"/>
              </w:rPr>
            </w:pPr>
            <w:r>
              <w:rPr>
                <w:sz w:val="20"/>
              </w:rPr>
              <w:t>134,00</w:t>
            </w:r>
          </w:p>
        </w:tc>
        <w:tc>
          <w:tcPr>
            <w:tcW w:w="1836" w:type="dxa"/>
            <w:tcBorders>
              <w:top w:val="single" w:sz="4" w:space="0" w:color="00000A"/>
              <w:left w:val="single" w:sz="4" w:space="0" w:color="00000A"/>
              <w:bottom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22,00</w:t>
            </w:r>
          </w:p>
        </w:tc>
        <w:tc>
          <w:tcPr>
            <w:tcW w:w="2232"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2860,00</w:t>
            </w:r>
          </w:p>
        </w:tc>
      </w:tr>
      <w:tr>
        <w:trPr/>
        <w:tc>
          <w:tcPr>
            <w:tcW w:w="6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left="-441" w:firstLine="437"/>
              <w:jc w:val="center"/>
              <w:rPr>
                <w:sz w:val="20"/>
              </w:rPr>
            </w:pPr>
            <w:r>
              <w:rPr>
                <w:sz w:val="20"/>
              </w:rPr>
              <w:t>1.2</w:t>
            </w:r>
          </w:p>
        </w:tc>
        <w:tc>
          <w:tcPr>
            <w:tcW w:w="26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yle20"/>
              <w:tabs>
                <w:tab w:val="clear" w:pos="708"/>
                <w:tab w:val="left" w:pos="569" w:leader="none"/>
              </w:tabs>
              <w:rPr>
                <w:sz w:val="20"/>
                <w:szCs w:val="20"/>
              </w:rPr>
            </w:pPr>
            <w:r>
              <w:rPr>
                <w:sz w:val="20"/>
                <w:szCs w:val="20"/>
              </w:rPr>
              <w:t xml:space="preserve">Стали легированные не коррозионностойкие </w:t>
            </w:r>
          </w:p>
          <w:p>
            <w:pPr>
              <w:pStyle w:val="Style20"/>
              <w:rPr>
                <w:sz w:val="20"/>
                <w:szCs w:val="20"/>
              </w:rPr>
            </w:pPr>
            <w:r>
              <w:rPr>
                <w:rFonts w:ascii="Times New Roman;serif" w:hAnsi="Times New Roman;serif"/>
                <w:sz w:val="20"/>
                <w:szCs w:val="20"/>
              </w:rPr>
              <w:t>(Лом стальной 12А)</w:t>
            </w:r>
            <w:r>
              <w:rPr>
                <w:sz w:val="20"/>
                <w:szCs w:val="20"/>
              </w:rPr>
              <w:t xml:space="preserve"> </w:t>
            </w:r>
          </w:p>
        </w:tc>
        <w:tc>
          <w:tcPr>
            <w:tcW w:w="15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hanging="0"/>
              <w:jc w:val="center"/>
              <w:rPr>
                <w:sz w:val="20"/>
              </w:rPr>
            </w:pPr>
            <w:r>
              <w:rPr>
                <w:sz w:val="20"/>
              </w:rPr>
              <w:t>82,60</w:t>
            </w:r>
          </w:p>
        </w:tc>
        <w:tc>
          <w:tcPr>
            <w:tcW w:w="1836" w:type="dxa"/>
            <w:tcBorders>
              <w:top w:val="single" w:sz="4" w:space="0" w:color="00000A"/>
              <w:left w:val="single" w:sz="4" w:space="0" w:color="00000A"/>
              <w:bottom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22,00</w:t>
            </w:r>
          </w:p>
        </w:tc>
        <w:tc>
          <w:tcPr>
            <w:tcW w:w="2232"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1763,00</w:t>
            </w:r>
          </w:p>
        </w:tc>
      </w:tr>
      <w:tr>
        <w:trPr/>
        <w:tc>
          <w:tcPr>
            <w:tcW w:w="6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left="-441" w:firstLine="437"/>
              <w:jc w:val="center"/>
              <w:rPr>
                <w:sz w:val="20"/>
              </w:rPr>
            </w:pPr>
            <w:r>
              <w:rPr>
                <w:sz w:val="20"/>
              </w:rPr>
              <w:t>1.3</w:t>
            </w:r>
          </w:p>
        </w:tc>
        <w:tc>
          <w:tcPr>
            <w:tcW w:w="26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yle20"/>
              <w:tabs>
                <w:tab w:val="clear" w:pos="708"/>
                <w:tab w:val="left" w:pos="569" w:leader="none"/>
              </w:tabs>
              <w:rPr>
                <w:sz w:val="20"/>
                <w:szCs w:val="20"/>
              </w:rPr>
            </w:pPr>
            <w:r>
              <w:rPr>
                <w:sz w:val="20"/>
                <w:szCs w:val="20"/>
              </w:rPr>
              <w:t>Стали легированные коррозионностойкие</w:t>
            </w:r>
          </w:p>
          <w:p>
            <w:pPr>
              <w:pStyle w:val="Style20"/>
              <w:rPr>
                <w:sz w:val="20"/>
                <w:szCs w:val="20"/>
              </w:rPr>
            </w:pPr>
            <w:r>
              <w:rPr>
                <w:rFonts w:ascii="Times New Roman;serif" w:hAnsi="Times New Roman;serif"/>
                <w:sz w:val="20"/>
                <w:szCs w:val="20"/>
              </w:rPr>
              <w:t>(Лом стальной 12А)</w:t>
            </w:r>
            <w:r>
              <w:rPr>
                <w:sz w:val="20"/>
                <w:szCs w:val="20"/>
              </w:rPr>
              <w:t xml:space="preserve"> </w:t>
            </w:r>
          </w:p>
        </w:tc>
        <w:tc>
          <w:tcPr>
            <w:tcW w:w="15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hanging="0"/>
              <w:jc w:val="center"/>
              <w:rPr>
                <w:sz w:val="20"/>
              </w:rPr>
            </w:pPr>
            <w:r>
              <w:rPr>
                <w:sz w:val="20"/>
              </w:rPr>
              <w:t>10,00</w:t>
            </w:r>
          </w:p>
        </w:tc>
        <w:tc>
          <w:tcPr>
            <w:tcW w:w="1836" w:type="dxa"/>
            <w:tcBorders>
              <w:top w:val="single" w:sz="4" w:space="0" w:color="00000A"/>
              <w:left w:val="single" w:sz="4" w:space="0" w:color="00000A"/>
              <w:bottom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22,00</w:t>
            </w:r>
          </w:p>
        </w:tc>
        <w:tc>
          <w:tcPr>
            <w:tcW w:w="2232"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213,00</w:t>
            </w:r>
          </w:p>
        </w:tc>
      </w:tr>
      <w:tr>
        <w:trPr/>
        <w:tc>
          <w:tcPr>
            <w:tcW w:w="6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left="-441" w:firstLine="437"/>
              <w:jc w:val="center"/>
              <w:rPr>
                <w:sz w:val="20"/>
              </w:rPr>
            </w:pPr>
            <w:r>
              <w:rPr>
                <w:sz w:val="20"/>
              </w:rPr>
              <w:t>1.4</w:t>
            </w:r>
          </w:p>
        </w:tc>
        <w:tc>
          <w:tcPr>
            <w:tcW w:w="26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yle20"/>
              <w:tabs>
                <w:tab w:val="clear" w:pos="708"/>
                <w:tab w:val="left" w:pos="569" w:leader="none"/>
              </w:tabs>
              <w:rPr>
                <w:sz w:val="20"/>
                <w:szCs w:val="20"/>
              </w:rPr>
            </w:pPr>
            <w:r>
              <w:rPr>
                <w:sz w:val="20"/>
                <w:szCs w:val="20"/>
              </w:rPr>
              <w:t>Медь и ее сплавы</w:t>
            </w:r>
          </w:p>
          <w:p>
            <w:pPr>
              <w:pStyle w:val="Style20"/>
              <w:rPr>
                <w:sz w:val="20"/>
                <w:szCs w:val="20"/>
              </w:rPr>
            </w:pPr>
            <w:r>
              <w:rPr>
                <w:rFonts w:ascii="Times New Roman;serif" w:hAnsi="Times New Roman;serif"/>
                <w:sz w:val="20"/>
                <w:szCs w:val="20"/>
              </w:rPr>
              <w:t>(Медь)</w:t>
            </w:r>
            <w:r>
              <w:rPr>
                <w:sz w:val="20"/>
                <w:szCs w:val="20"/>
              </w:rPr>
              <w:t xml:space="preserve"> </w:t>
            </w:r>
          </w:p>
        </w:tc>
        <w:tc>
          <w:tcPr>
            <w:tcW w:w="15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hanging="0"/>
              <w:jc w:val="center"/>
              <w:rPr>
                <w:sz w:val="20"/>
              </w:rPr>
            </w:pPr>
            <w:r>
              <w:rPr>
                <w:sz w:val="20"/>
              </w:rPr>
              <w:t>4,10</w:t>
            </w:r>
          </w:p>
        </w:tc>
        <w:tc>
          <w:tcPr>
            <w:tcW w:w="1836" w:type="dxa"/>
            <w:tcBorders>
              <w:top w:val="single" w:sz="4" w:space="0" w:color="00000A"/>
              <w:left w:val="single" w:sz="4" w:space="0" w:color="00000A"/>
              <w:bottom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484,00</w:t>
            </w:r>
          </w:p>
        </w:tc>
        <w:tc>
          <w:tcPr>
            <w:tcW w:w="2232"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992,00</w:t>
            </w:r>
          </w:p>
        </w:tc>
      </w:tr>
      <w:tr>
        <w:trPr/>
        <w:tc>
          <w:tcPr>
            <w:tcW w:w="6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left="-441" w:firstLine="437"/>
              <w:jc w:val="center"/>
              <w:rPr>
                <w:sz w:val="20"/>
              </w:rPr>
            </w:pPr>
            <w:r>
              <w:rPr>
                <w:sz w:val="20"/>
              </w:rPr>
              <w:t>1.5</w:t>
            </w:r>
          </w:p>
        </w:tc>
        <w:tc>
          <w:tcPr>
            <w:tcW w:w="26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yle20"/>
              <w:tabs>
                <w:tab w:val="clear" w:pos="708"/>
                <w:tab w:val="left" w:pos="569" w:leader="none"/>
              </w:tabs>
              <w:rPr>
                <w:sz w:val="20"/>
                <w:szCs w:val="20"/>
              </w:rPr>
            </w:pPr>
            <w:r>
              <w:rPr>
                <w:sz w:val="20"/>
                <w:szCs w:val="20"/>
              </w:rPr>
              <w:t>Медь и ее сплавы</w:t>
            </w:r>
          </w:p>
          <w:p>
            <w:pPr>
              <w:pStyle w:val="Style20"/>
              <w:rPr>
                <w:sz w:val="20"/>
                <w:szCs w:val="20"/>
              </w:rPr>
            </w:pPr>
            <w:r>
              <w:rPr>
                <w:rFonts w:ascii="Times New Roman;serif" w:hAnsi="Times New Roman;serif"/>
                <w:sz w:val="20"/>
                <w:szCs w:val="20"/>
              </w:rPr>
              <w:t>(Бронза)</w:t>
            </w:r>
            <w:r>
              <w:rPr>
                <w:sz w:val="20"/>
                <w:szCs w:val="20"/>
              </w:rPr>
              <w:t xml:space="preserve"> </w:t>
            </w:r>
          </w:p>
        </w:tc>
        <w:tc>
          <w:tcPr>
            <w:tcW w:w="15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hanging="0"/>
              <w:jc w:val="center"/>
              <w:rPr>
                <w:bCs/>
                <w:color w:val="000000"/>
                <w:sz w:val="20"/>
                <w:lang w:val="en-US"/>
              </w:rPr>
            </w:pPr>
            <w:r>
              <w:rPr>
                <w:bCs/>
                <w:color w:val="000000"/>
                <w:sz w:val="20"/>
                <w:lang w:val="en-US"/>
              </w:rPr>
              <w:t>10,90</w:t>
            </w:r>
          </w:p>
        </w:tc>
        <w:tc>
          <w:tcPr>
            <w:tcW w:w="1836" w:type="dxa"/>
            <w:tcBorders>
              <w:top w:val="single" w:sz="4" w:space="0" w:color="00000A"/>
              <w:left w:val="single" w:sz="4" w:space="0" w:color="00000A"/>
              <w:bottom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235,00</w:t>
            </w:r>
          </w:p>
        </w:tc>
        <w:tc>
          <w:tcPr>
            <w:tcW w:w="2232"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2510,00</w:t>
            </w:r>
          </w:p>
        </w:tc>
      </w:tr>
      <w:tr>
        <w:trPr/>
        <w:tc>
          <w:tcPr>
            <w:tcW w:w="6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left="-441" w:firstLine="437"/>
              <w:jc w:val="center"/>
              <w:rPr>
                <w:sz w:val="20"/>
              </w:rPr>
            </w:pPr>
            <w:r>
              <w:rPr>
                <w:sz w:val="20"/>
              </w:rPr>
              <w:t>1.6</w:t>
            </w:r>
          </w:p>
        </w:tc>
        <w:tc>
          <w:tcPr>
            <w:tcW w:w="26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yle20"/>
              <w:tabs>
                <w:tab w:val="clear" w:pos="708"/>
                <w:tab w:val="left" w:pos="569" w:leader="none"/>
              </w:tabs>
              <w:rPr>
                <w:sz w:val="20"/>
                <w:szCs w:val="20"/>
              </w:rPr>
            </w:pPr>
            <w:r>
              <w:rPr>
                <w:sz w:val="20"/>
                <w:szCs w:val="20"/>
              </w:rPr>
              <w:t>Медь и ее сплавы</w:t>
            </w:r>
          </w:p>
          <w:p>
            <w:pPr>
              <w:pStyle w:val="Style20"/>
              <w:rPr>
                <w:sz w:val="20"/>
                <w:szCs w:val="20"/>
              </w:rPr>
            </w:pPr>
            <w:r>
              <w:rPr>
                <w:rFonts w:ascii="Times New Roman;serif" w:hAnsi="Times New Roman;serif"/>
                <w:sz w:val="20"/>
                <w:szCs w:val="20"/>
              </w:rPr>
              <w:t>(Латунь)</w:t>
            </w:r>
            <w:r>
              <w:rPr>
                <w:sz w:val="20"/>
                <w:szCs w:val="20"/>
              </w:rPr>
              <w:t xml:space="preserve"> </w:t>
            </w:r>
          </w:p>
        </w:tc>
        <w:tc>
          <w:tcPr>
            <w:tcW w:w="15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hanging="0"/>
              <w:jc w:val="center"/>
              <w:rPr>
                <w:bCs/>
                <w:color w:val="000000"/>
                <w:sz w:val="20"/>
                <w:lang w:val="en-US"/>
              </w:rPr>
            </w:pPr>
            <w:r>
              <w:rPr>
                <w:bCs/>
                <w:color w:val="000000"/>
                <w:sz w:val="20"/>
                <w:lang w:val="en-US"/>
              </w:rPr>
              <w:t>12,50</w:t>
            </w:r>
          </w:p>
        </w:tc>
        <w:tc>
          <w:tcPr>
            <w:tcW w:w="1836" w:type="dxa"/>
            <w:tcBorders>
              <w:top w:val="single" w:sz="4" w:space="0" w:color="00000A"/>
              <w:left w:val="single" w:sz="4" w:space="0" w:color="00000A"/>
              <w:bottom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244,00</w:t>
            </w:r>
          </w:p>
        </w:tc>
        <w:tc>
          <w:tcPr>
            <w:tcW w:w="2232"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2593,00</w:t>
            </w:r>
          </w:p>
        </w:tc>
      </w:tr>
      <w:tr>
        <w:trPr/>
        <w:tc>
          <w:tcPr>
            <w:tcW w:w="6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left="-441" w:firstLine="437"/>
              <w:jc w:val="center"/>
              <w:rPr>
                <w:sz w:val="20"/>
              </w:rPr>
            </w:pPr>
            <w:r>
              <w:rPr>
                <w:sz w:val="20"/>
              </w:rPr>
              <w:t>1.7</w:t>
            </w:r>
          </w:p>
        </w:tc>
        <w:tc>
          <w:tcPr>
            <w:tcW w:w="26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yle20"/>
              <w:tabs>
                <w:tab w:val="clear" w:pos="708"/>
                <w:tab w:val="left" w:pos="569" w:leader="none"/>
              </w:tabs>
              <w:rPr>
                <w:sz w:val="20"/>
                <w:szCs w:val="20"/>
              </w:rPr>
            </w:pPr>
            <w:r>
              <w:rPr>
                <w:sz w:val="20"/>
                <w:szCs w:val="20"/>
              </w:rPr>
              <w:t>Алюминиевые сплавы</w:t>
            </w:r>
          </w:p>
          <w:p>
            <w:pPr>
              <w:pStyle w:val="Style20"/>
              <w:rPr>
                <w:sz w:val="20"/>
                <w:szCs w:val="20"/>
              </w:rPr>
            </w:pPr>
            <w:r>
              <w:rPr>
                <w:rFonts w:ascii="Times New Roman;serif" w:hAnsi="Times New Roman;serif"/>
                <w:sz w:val="20"/>
                <w:szCs w:val="20"/>
              </w:rPr>
              <w:t>(Лом алюминиевый Д16)</w:t>
            </w:r>
            <w:r>
              <w:rPr>
                <w:sz w:val="20"/>
                <w:szCs w:val="20"/>
              </w:rPr>
              <w:t xml:space="preserve"> </w:t>
            </w:r>
          </w:p>
        </w:tc>
        <w:tc>
          <w:tcPr>
            <w:tcW w:w="15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hanging="0"/>
              <w:jc w:val="center"/>
              <w:rPr>
                <w:bCs/>
                <w:color w:val="000000"/>
                <w:sz w:val="20"/>
                <w:lang w:val="en-US"/>
              </w:rPr>
            </w:pPr>
            <w:r>
              <w:rPr>
                <w:bCs/>
                <w:color w:val="000000"/>
                <w:sz w:val="20"/>
                <w:lang w:val="en-US"/>
              </w:rPr>
              <w:t>150,70</w:t>
            </w:r>
          </w:p>
        </w:tc>
        <w:tc>
          <w:tcPr>
            <w:tcW w:w="1836" w:type="dxa"/>
            <w:tcBorders>
              <w:top w:val="single" w:sz="4" w:space="0" w:color="00000A"/>
              <w:left w:val="single" w:sz="4" w:space="0" w:color="00000A"/>
              <w:bottom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80,00</w:t>
            </w:r>
          </w:p>
        </w:tc>
        <w:tc>
          <w:tcPr>
            <w:tcW w:w="2232"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11815,00</w:t>
            </w:r>
          </w:p>
        </w:tc>
      </w:tr>
      <w:tr>
        <w:trPr/>
        <w:tc>
          <w:tcPr>
            <w:tcW w:w="6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left="-441" w:firstLine="437"/>
              <w:jc w:val="center"/>
              <w:rPr>
                <w:sz w:val="20"/>
              </w:rPr>
            </w:pPr>
            <w:r>
              <w:rPr>
                <w:sz w:val="20"/>
              </w:rPr>
              <w:t>1.8</w:t>
            </w:r>
          </w:p>
        </w:tc>
        <w:tc>
          <w:tcPr>
            <w:tcW w:w="2628" w:type="dxa"/>
            <w:tcBorders>
              <w:top w:val="single" w:sz="4" w:space="0" w:color="00000A"/>
              <w:left w:val="single" w:sz="4" w:space="0" w:color="00000A"/>
              <w:bottom w:val="single" w:sz="4" w:space="0" w:color="00000A"/>
              <w:right w:val="single" w:sz="4" w:space="0" w:color="00000A"/>
            </w:tcBorders>
            <w:shd w:color="auto" w:fill="auto" w:val="clear"/>
          </w:tcPr>
          <w:p>
            <w:pPr>
              <w:pStyle w:val="Style20"/>
              <w:tabs>
                <w:tab w:val="clear" w:pos="708"/>
                <w:tab w:val="left" w:pos="492" w:leader="none"/>
              </w:tabs>
              <w:rPr>
                <w:sz w:val="20"/>
                <w:szCs w:val="20"/>
              </w:rPr>
            </w:pPr>
            <w:r>
              <w:rPr>
                <w:sz w:val="20"/>
                <w:szCs w:val="20"/>
              </w:rPr>
              <w:t>Титан и его сплавы</w:t>
            </w:r>
          </w:p>
          <w:p>
            <w:pPr>
              <w:pStyle w:val="Style20"/>
              <w:rPr>
                <w:sz w:val="20"/>
                <w:szCs w:val="20"/>
              </w:rPr>
            </w:pPr>
            <w:r>
              <w:rPr>
                <w:rFonts w:ascii="Times New Roman;serif" w:hAnsi="Times New Roman;serif"/>
                <w:sz w:val="20"/>
                <w:szCs w:val="20"/>
              </w:rPr>
              <w:t>(Титан)</w:t>
            </w:r>
            <w:r>
              <w:rPr>
                <w:sz w:val="20"/>
                <w:szCs w:val="20"/>
              </w:rPr>
              <w:t xml:space="preserve"> </w:t>
            </w:r>
          </w:p>
        </w:tc>
        <w:tc>
          <w:tcPr>
            <w:tcW w:w="1547"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08"/>
                <w:tab w:val="left" w:pos="492" w:leader="none"/>
              </w:tabs>
              <w:ind w:hanging="0"/>
              <w:jc w:val="center"/>
              <w:rPr/>
            </w:pPr>
            <w:r>
              <w:rPr>
                <w:rStyle w:val="12"/>
                <w:bCs/>
                <w:color w:val="000000"/>
                <w:kern w:val="2"/>
                <w:sz w:val="20"/>
                <w:lang w:val="en-US"/>
              </w:rPr>
              <w:t>93,20</w:t>
            </w:r>
          </w:p>
        </w:tc>
        <w:tc>
          <w:tcPr>
            <w:tcW w:w="1836" w:type="dxa"/>
            <w:tcBorders>
              <w:top w:val="single" w:sz="4" w:space="0" w:color="00000A"/>
              <w:left w:val="single" w:sz="4" w:space="0" w:color="00000A"/>
              <w:bottom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90,00</w:t>
            </w:r>
          </w:p>
        </w:tc>
        <w:tc>
          <w:tcPr>
            <w:tcW w:w="2232"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8"/>
                <w:tab w:val="left" w:pos="5055" w:leader="none"/>
                <w:tab w:val="left" w:pos="6677" w:leader="none"/>
              </w:tabs>
              <w:ind w:firstLine="33"/>
              <w:jc w:val="center"/>
              <w:rPr>
                <w:sz w:val="20"/>
              </w:rPr>
            </w:pPr>
            <w:r>
              <w:rPr>
                <w:sz w:val="20"/>
              </w:rPr>
              <w:t>8220,00</w:t>
            </w:r>
          </w:p>
        </w:tc>
      </w:tr>
      <w:tr>
        <w:trPr/>
        <w:tc>
          <w:tcPr>
            <w:tcW w:w="6622" w:type="dxa"/>
            <w:gridSpan w:val="5"/>
            <w:tcBorders>
              <w:top w:val="single" w:sz="4" w:space="0" w:color="00000A"/>
              <w:left w:val="single" w:sz="4" w:space="0" w:color="00000A"/>
              <w:bottom w:val="single" w:sz="4" w:space="0" w:color="00000A"/>
            </w:tcBorders>
            <w:shd w:color="auto" w:fill="auto" w:val="clear"/>
          </w:tcPr>
          <w:p>
            <w:pPr>
              <w:pStyle w:val="Normal"/>
              <w:tabs>
                <w:tab w:val="clear" w:pos="708"/>
                <w:tab w:val="left" w:pos="5055" w:leader="none"/>
                <w:tab w:val="left" w:pos="6677" w:leader="none"/>
              </w:tabs>
              <w:jc w:val="right"/>
              <w:rPr>
                <w:b/>
                <w:b/>
                <w:sz w:val="20"/>
              </w:rPr>
            </w:pPr>
            <w:r>
              <w:rPr>
                <w:b/>
                <w:sz w:val="20"/>
              </w:rPr>
              <w:t>ИТОГО:</w:t>
            </w:r>
          </w:p>
        </w:tc>
        <w:tc>
          <w:tcPr>
            <w:tcW w:w="223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sz w:val="20"/>
              </w:rPr>
            </w:pPr>
            <w:r>
              <w:rPr>
                <w:sz w:val="20"/>
              </w:rPr>
              <w:t>30966,00</w:t>
            </w:r>
          </w:p>
        </w:tc>
      </w:tr>
    </w:tbl>
    <w:p>
      <w:pPr>
        <w:pStyle w:val="NoSpacing"/>
        <w:jc w:val="both"/>
        <w:rPr/>
      </w:pPr>
      <w:r>
        <w:rPr>
          <w:rFonts w:ascii="Times New Roman" w:hAnsi="Times New Roman"/>
          <w:b/>
          <w:sz w:val="24"/>
          <w:szCs w:val="24"/>
          <w:lang w:val="ru-RU"/>
        </w:rPr>
        <w:t xml:space="preserve">        </w:t>
      </w:r>
    </w:p>
    <w:p>
      <w:pPr>
        <w:pStyle w:val="NoSpacing"/>
        <w:ind w:left="-142" w:firstLine="567"/>
        <w:jc w:val="both"/>
        <w:rPr>
          <w:lang w:val="ru-RU"/>
        </w:rPr>
      </w:pPr>
      <w:r>
        <w:rPr>
          <w:rFonts w:ascii="Times New Roman" w:hAnsi="Times New Roman"/>
          <w:b/>
          <w:sz w:val="24"/>
          <w:szCs w:val="24"/>
          <w:lang w:val="ru-RU"/>
        </w:rPr>
        <w:t xml:space="preserve"> </w:t>
      </w:r>
      <w:r>
        <w:rPr>
          <w:rFonts w:ascii="Times New Roman" w:hAnsi="Times New Roman"/>
          <w:b/>
          <w:sz w:val="24"/>
          <w:szCs w:val="24"/>
          <w:lang w:val="ru-RU"/>
        </w:rPr>
        <w:t xml:space="preserve">Начальная цена реализации имущества – </w:t>
      </w:r>
      <w:r>
        <w:rPr>
          <w:rFonts w:ascii="Times New Roman" w:hAnsi="Times New Roman"/>
          <w:sz w:val="24"/>
          <w:szCs w:val="24"/>
          <w:lang w:val="ru-RU"/>
        </w:rPr>
        <w:t xml:space="preserve">30 966 (тридцать тысяч девятьсот шестьдесят шесть) рублей 00 копеек НДС </w:t>
      </w:r>
      <w:r>
        <w:rPr>
          <w:rFonts w:ascii="Times New Roman" w:hAnsi="Times New Roman"/>
          <w:sz w:val="24"/>
          <w:szCs w:val="24"/>
          <w:lang w:val="ru-RU" w:eastAsia="ru-RU"/>
        </w:rPr>
        <w:t>не облагается</w:t>
      </w:r>
      <w:r>
        <w:rPr>
          <w:rFonts w:ascii="Times New Roman" w:hAnsi="Times New Roman"/>
          <w:sz w:val="24"/>
          <w:szCs w:val="24"/>
          <w:lang w:val="ru-RU"/>
        </w:rPr>
        <w:t>.</w:t>
      </w:r>
    </w:p>
    <w:p>
      <w:pPr>
        <w:pStyle w:val="ListParagraph"/>
        <w:spacing w:lineRule="auto" w:line="240" w:before="0" w:after="0"/>
        <w:ind w:left="0" w:right="57" w:hanging="0"/>
        <w:contextualSpacing/>
        <w:jc w:val="both"/>
        <w:rPr/>
      </w:pPr>
      <w:r>
        <w:rPr>
          <w:b/>
          <w:sz w:val="24"/>
          <w:szCs w:val="24"/>
          <w:lang w:eastAsia="ru-RU"/>
        </w:rPr>
        <w:t xml:space="preserve">       </w:t>
      </w:r>
      <w:r>
        <w:rPr>
          <w:b/>
          <w:sz w:val="24"/>
          <w:szCs w:val="24"/>
          <w:lang w:eastAsia="ru-RU"/>
        </w:rPr>
        <w:t>Шаг аукциона</w:t>
      </w:r>
      <w:r>
        <w:rPr>
          <w:sz w:val="24"/>
          <w:szCs w:val="24"/>
          <w:lang w:eastAsia="ru-RU"/>
        </w:rPr>
        <w:t>: 2 % от начальной цены имущества – 619 (шестьсот девятнадцать) руб. 32 коп., НДС не облагается.</w:t>
      </w:r>
    </w:p>
    <w:p>
      <w:pPr>
        <w:pStyle w:val="Normal"/>
        <w:tabs>
          <w:tab w:val="clear" w:pos="708"/>
          <w:tab w:val="left" w:pos="9639" w:leader="none"/>
        </w:tabs>
        <w:spacing w:lineRule="auto" w:line="240"/>
        <w:ind w:left="-142" w:hanging="0"/>
        <w:jc w:val="both"/>
        <w:rPr/>
      </w:pPr>
      <w:r>
        <w:rPr>
          <w:b/>
          <w:color w:val="000000"/>
          <w:sz w:val="24"/>
          <w:szCs w:val="24"/>
        </w:rPr>
        <w:t xml:space="preserve">          </w:t>
      </w:r>
      <w:r>
        <w:rPr>
          <w:b/>
          <w:color w:val="000000"/>
          <w:sz w:val="24"/>
          <w:szCs w:val="24"/>
        </w:rPr>
        <w:t>Размер задатка (20% от начальной цены)</w:t>
      </w:r>
      <w:r>
        <w:rPr>
          <w:color w:val="000000"/>
          <w:sz w:val="24"/>
          <w:szCs w:val="24"/>
        </w:rPr>
        <w:t xml:space="preserve"> – 6 193 (шесть тысяч сто девяносто три) руб. 20     коп. </w:t>
      </w:r>
      <w:r>
        <w:rPr>
          <w:sz w:val="24"/>
          <w:szCs w:val="24"/>
        </w:rPr>
        <w:t>НДС не облагается.</w:t>
      </w:r>
    </w:p>
    <w:p>
      <w:pPr>
        <w:pStyle w:val="NoSpacing"/>
        <w:ind w:left="-142" w:firstLine="560"/>
        <w:jc w:val="both"/>
        <w:rPr/>
      </w:pPr>
      <w:r>
        <w:rPr>
          <w:rFonts w:ascii="Times New Roman" w:hAnsi="Times New Roman"/>
          <w:color w:val="FF0000"/>
          <w:sz w:val="24"/>
          <w:szCs w:val="24"/>
          <w:lang w:val="ru-RU"/>
        </w:rPr>
        <w:t xml:space="preserve"> </w:t>
      </w:r>
      <w:r>
        <w:rPr>
          <w:rFonts w:ascii="Times New Roman" w:hAnsi="Times New Roman"/>
          <w:b/>
          <w:sz w:val="24"/>
          <w:szCs w:val="24"/>
          <w:lang w:val="ru-RU"/>
        </w:rPr>
        <w:t>Местонахождение имущества</w:t>
      </w:r>
      <w:r>
        <w:rPr>
          <w:rFonts w:ascii="Times New Roman" w:hAnsi="Times New Roman"/>
          <w:sz w:val="24"/>
          <w:szCs w:val="24"/>
          <w:lang w:val="ru-RU"/>
        </w:rPr>
        <w:t>: 442960, Пензенская область, г. Заречный, пр. Мира 1.</w:t>
      </w:r>
    </w:p>
    <w:p>
      <w:pPr>
        <w:pStyle w:val="NoSpacing"/>
        <w:ind w:left="-142" w:firstLine="560"/>
        <w:jc w:val="both"/>
        <w:rPr>
          <w:lang w:val="ru-RU"/>
        </w:rPr>
      </w:pPr>
      <w:r>
        <w:rPr>
          <w:rFonts w:ascii="Times New Roman" w:hAnsi="Times New Roman"/>
          <w:sz w:val="24"/>
          <w:szCs w:val="24"/>
          <w:lang w:val="ru-RU"/>
        </w:rPr>
        <w:t>Отчет об оценке рыночной стоимости лома черных и цветных металлов, от 24.08.2021 №98/08-2021.</w:t>
      </w:r>
    </w:p>
    <w:p>
      <w:pPr>
        <w:pStyle w:val="NoSpacing"/>
        <w:ind w:left="-142" w:firstLine="560"/>
        <w:jc w:val="both"/>
        <w:rPr>
          <w:lang w:val="ru-RU"/>
        </w:rPr>
      </w:pPr>
      <w:r>
        <w:rPr>
          <w:rFonts w:ascii="Times New Roman" w:hAnsi="Times New Roman"/>
          <w:sz w:val="24"/>
          <w:szCs w:val="24"/>
          <w:lang w:val="ru-RU"/>
        </w:rPr>
        <w:t>Оценка имущества</w:t>
      </w:r>
      <w:r>
        <w:rPr>
          <w:rFonts w:ascii="Times New Roman" w:hAnsi="Times New Roman"/>
          <w:b/>
          <w:sz w:val="24"/>
          <w:szCs w:val="24"/>
          <w:lang w:val="ru-RU"/>
        </w:rPr>
        <w:t xml:space="preserve"> </w:t>
      </w:r>
      <w:r>
        <w:rPr>
          <w:rFonts w:ascii="Times New Roman" w:hAnsi="Times New Roman"/>
          <w:sz w:val="24"/>
          <w:szCs w:val="24"/>
          <w:lang w:val="ru-RU"/>
        </w:rPr>
        <w:t>произведена в соответствии с Федеральным законом №135 ФЗ №135Ф от 29.07.1998г.</w:t>
      </w:r>
    </w:p>
    <w:p>
      <w:pPr>
        <w:pStyle w:val="NoSpacing"/>
        <w:ind w:left="-142" w:firstLine="560"/>
        <w:jc w:val="both"/>
        <w:rPr>
          <w:rFonts w:ascii="Times New Roman" w:hAnsi="Times New Roman"/>
          <w:b/>
          <w:b/>
          <w:color w:val="FF0000"/>
          <w:sz w:val="16"/>
          <w:szCs w:val="16"/>
          <w:lang w:val="ru-RU"/>
        </w:rPr>
      </w:pPr>
      <w:r>
        <w:rPr>
          <w:rFonts w:ascii="Times New Roman" w:hAnsi="Times New Roman"/>
          <w:b/>
          <w:color w:val="FF0000"/>
          <w:sz w:val="16"/>
          <w:szCs w:val="16"/>
          <w:lang w:val="ru-RU"/>
        </w:rPr>
      </w:r>
    </w:p>
    <w:p>
      <w:pPr>
        <w:pStyle w:val="Normal"/>
        <w:widowControl/>
        <w:numPr>
          <w:ilvl w:val="0"/>
          <w:numId w:val="5"/>
        </w:numPr>
        <w:tabs>
          <w:tab w:val="clear" w:pos="708"/>
          <w:tab w:val="left" w:pos="1134" w:leader="none"/>
        </w:tabs>
        <w:spacing w:lineRule="auto" w:line="240"/>
        <w:ind w:left="1069" w:right="57" w:hanging="360"/>
        <w:jc w:val="center"/>
        <w:rPr>
          <w:b/>
          <w:b/>
          <w:sz w:val="24"/>
          <w:szCs w:val="24"/>
        </w:rPr>
      </w:pPr>
      <w:r>
        <w:rPr>
          <w:b/>
          <w:sz w:val="24"/>
          <w:szCs w:val="24"/>
        </w:rPr>
        <w:t>Место, сроки подачи (приема) заявок, определения участников и подведения</w:t>
      </w:r>
    </w:p>
    <w:p>
      <w:pPr>
        <w:pStyle w:val="Normal"/>
        <w:widowControl/>
        <w:tabs>
          <w:tab w:val="clear" w:pos="708"/>
          <w:tab w:val="left" w:pos="1134" w:leader="none"/>
        </w:tabs>
        <w:spacing w:lineRule="auto" w:line="240"/>
        <w:ind w:right="57" w:hanging="0"/>
        <w:jc w:val="center"/>
        <w:rPr>
          <w:b/>
          <w:b/>
          <w:sz w:val="24"/>
          <w:szCs w:val="24"/>
        </w:rPr>
      </w:pPr>
      <w:r>
        <w:rPr>
          <w:b/>
          <w:sz w:val="24"/>
          <w:szCs w:val="24"/>
        </w:rPr>
        <w:t>итогов аукциона на повышение цены в электронной форме.</w:t>
      </w:r>
    </w:p>
    <w:p>
      <w:pPr>
        <w:pStyle w:val="Normal"/>
        <w:widowControl/>
        <w:tabs>
          <w:tab w:val="clear" w:pos="708"/>
          <w:tab w:val="left" w:pos="1134" w:leader="none"/>
        </w:tabs>
        <w:spacing w:lineRule="auto" w:line="240"/>
        <w:ind w:right="57" w:hanging="0"/>
        <w:jc w:val="center"/>
        <w:rPr>
          <w:b/>
          <w:b/>
          <w:sz w:val="16"/>
          <w:szCs w:val="16"/>
        </w:rPr>
      </w:pPr>
      <w:r>
        <w:rPr>
          <w:b/>
          <w:sz w:val="16"/>
          <w:szCs w:val="16"/>
        </w:rPr>
      </w:r>
    </w:p>
    <w:p>
      <w:pPr>
        <w:pStyle w:val="Normal"/>
        <w:tabs>
          <w:tab w:val="clear" w:pos="708"/>
          <w:tab w:val="left" w:pos="851" w:leader="none"/>
          <w:tab w:val="left" w:pos="1134" w:leader="none"/>
        </w:tabs>
        <w:spacing w:lineRule="auto" w:line="240"/>
        <w:ind w:right="57" w:firstLine="709"/>
        <w:jc w:val="both"/>
        <w:rPr/>
      </w:pPr>
      <w:r>
        <w:rPr>
          <w:sz w:val="24"/>
          <w:szCs w:val="24"/>
        </w:rPr>
        <w:t>Место подачи (приема) Заявок</w:t>
      </w:r>
      <w:r>
        <w:rPr>
          <w:bCs/>
          <w:sz w:val="24"/>
          <w:szCs w:val="24"/>
        </w:rPr>
        <w:t xml:space="preserve">: </w:t>
      </w:r>
      <w:hyperlink r:id="rId5">
        <w:r>
          <w:rPr>
            <w:rStyle w:val="ListLabel138"/>
          </w:rPr>
          <w:t>178fz.roseltorg.ru</w:t>
        </w:r>
      </w:hyperlink>
      <w:r>
        <w:rPr>
          <w:sz w:val="24"/>
          <w:szCs w:val="24"/>
        </w:rPr>
        <w:t>.</w:t>
      </w:r>
    </w:p>
    <w:p>
      <w:pPr>
        <w:pStyle w:val="Normal"/>
        <w:tabs>
          <w:tab w:val="clear" w:pos="708"/>
          <w:tab w:val="left" w:pos="993" w:leader="none"/>
          <w:tab w:val="left" w:pos="1134" w:leader="none"/>
        </w:tabs>
        <w:spacing w:lineRule="auto" w:line="240"/>
        <w:ind w:right="57" w:firstLine="709"/>
        <w:jc w:val="both"/>
        <w:rPr>
          <w:sz w:val="24"/>
          <w:szCs w:val="24"/>
          <w:highlight w:val="yellow"/>
        </w:rPr>
      </w:pPr>
      <w:r>
        <w:rPr>
          <w:sz w:val="24"/>
          <w:szCs w:val="24"/>
        </w:rPr>
        <w:t>Дата и время начала подачи (приема) Заявок: «23» сентября 2021 года, 9:00 по московскому времени.</w:t>
      </w:r>
    </w:p>
    <w:p>
      <w:pPr>
        <w:pStyle w:val="Normal"/>
        <w:tabs>
          <w:tab w:val="clear" w:pos="708"/>
          <w:tab w:val="left" w:pos="1134" w:leader="none"/>
        </w:tabs>
        <w:spacing w:lineRule="auto" w:line="240"/>
        <w:ind w:right="57" w:firstLine="709"/>
        <w:jc w:val="both"/>
        <w:rPr>
          <w:sz w:val="24"/>
          <w:szCs w:val="24"/>
        </w:rPr>
      </w:pPr>
      <w:r>
        <w:rPr>
          <w:sz w:val="24"/>
          <w:szCs w:val="24"/>
        </w:rPr>
        <w:t>Подача Заявок осуществляется круглосуточно.</w:t>
      </w:r>
    </w:p>
    <w:p>
      <w:pPr>
        <w:pStyle w:val="Normal"/>
        <w:tabs>
          <w:tab w:val="clear" w:pos="708"/>
          <w:tab w:val="left" w:pos="993" w:leader="none"/>
          <w:tab w:val="left" w:pos="1134" w:leader="none"/>
        </w:tabs>
        <w:spacing w:lineRule="auto" w:line="240"/>
        <w:ind w:right="57" w:firstLine="709"/>
        <w:jc w:val="both"/>
        <w:rPr>
          <w:sz w:val="24"/>
          <w:szCs w:val="24"/>
          <w:highlight w:val="yellow"/>
        </w:rPr>
      </w:pPr>
      <w:r>
        <w:rPr>
          <w:sz w:val="24"/>
          <w:szCs w:val="24"/>
        </w:rPr>
        <w:t>Дата и время окончания подачи (приема) Заявок: «18» октября 2021 года, 9:00 по московскому времени.</w:t>
      </w:r>
    </w:p>
    <w:p>
      <w:pPr>
        <w:pStyle w:val="Normal"/>
        <w:tabs>
          <w:tab w:val="clear" w:pos="708"/>
          <w:tab w:val="left" w:pos="993" w:leader="none"/>
          <w:tab w:val="left" w:pos="1134" w:leader="none"/>
        </w:tabs>
        <w:spacing w:lineRule="auto" w:line="240"/>
        <w:ind w:right="57" w:firstLine="709"/>
        <w:jc w:val="both"/>
        <w:rPr>
          <w:sz w:val="24"/>
          <w:szCs w:val="24"/>
          <w:highlight w:val="yellow"/>
        </w:rPr>
      </w:pPr>
      <w:r>
        <w:rPr>
          <w:sz w:val="24"/>
          <w:szCs w:val="24"/>
        </w:rPr>
        <w:t>Дата и место определения Участников:</w:t>
      </w:r>
      <w:r>
        <w:rPr>
          <w:b/>
          <w:sz w:val="24"/>
          <w:szCs w:val="24"/>
        </w:rPr>
        <w:t xml:space="preserve"> </w:t>
      </w:r>
      <w:r>
        <w:rPr>
          <w:sz w:val="24"/>
          <w:szCs w:val="24"/>
        </w:rPr>
        <w:t>«19» октября 2021 года, по адресу: 442960, Пензенская область, г. Заречный, пр. Мира 1.</w:t>
      </w:r>
    </w:p>
    <w:p>
      <w:pPr>
        <w:pStyle w:val="Normal"/>
        <w:tabs>
          <w:tab w:val="clear" w:pos="708"/>
          <w:tab w:val="left" w:pos="851" w:leader="none"/>
          <w:tab w:val="left" w:pos="1134" w:leader="none"/>
        </w:tabs>
        <w:spacing w:lineRule="auto" w:line="240"/>
        <w:ind w:right="57" w:firstLine="709"/>
        <w:jc w:val="both"/>
        <w:rPr>
          <w:color w:val="FF0000"/>
          <w:sz w:val="24"/>
          <w:szCs w:val="24"/>
          <w:highlight w:val="yellow"/>
        </w:rPr>
      </w:pPr>
      <w:r>
        <w:rPr>
          <w:sz w:val="24"/>
          <w:szCs w:val="24"/>
        </w:rPr>
        <w:t xml:space="preserve"> </w:t>
      </w:r>
      <w:r>
        <w:rPr>
          <w:bCs/>
          <w:sz w:val="24"/>
          <w:szCs w:val="24"/>
        </w:rPr>
        <w:t xml:space="preserve">Срок, дата и время проведения аукциона на повышение цены в электронной форме: </w:t>
      </w:r>
      <w:r>
        <w:rPr>
          <w:b/>
          <w:bCs/>
          <w:sz w:val="24"/>
          <w:szCs w:val="24"/>
        </w:rPr>
        <w:t xml:space="preserve">«21» октября </w:t>
      </w:r>
      <w:r>
        <w:rPr>
          <w:sz w:val="24"/>
          <w:szCs w:val="24"/>
        </w:rPr>
        <w:t>2021 года</w:t>
      </w:r>
      <w:r>
        <w:rPr>
          <w:bCs/>
          <w:sz w:val="24"/>
          <w:szCs w:val="24"/>
        </w:rPr>
        <w:t xml:space="preserve">, 10:00 </w:t>
      </w:r>
      <w:r>
        <w:rPr>
          <w:sz w:val="24"/>
          <w:szCs w:val="24"/>
        </w:rPr>
        <w:t xml:space="preserve">по московскому времени согласно раздела 12 настоящего информационного сообщения. </w:t>
      </w:r>
      <w:r>
        <w:rPr>
          <w:color w:val="FF0000"/>
          <w:sz w:val="24"/>
          <w:szCs w:val="24"/>
        </w:rPr>
        <w:t xml:space="preserve"> </w:t>
      </w:r>
    </w:p>
    <w:p>
      <w:pPr>
        <w:pStyle w:val="Normal"/>
        <w:tabs>
          <w:tab w:val="clear" w:pos="708"/>
          <w:tab w:val="left" w:pos="993" w:leader="none"/>
          <w:tab w:val="left" w:pos="1134" w:leader="none"/>
        </w:tabs>
        <w:spacing w:lineRule="auto" w:line="240"/>
        <w:ind w:right="57" w:firstLine="709"/>
        <w:jc w:val="both"/>
        <w:rPr>
          <w:sz w:val="24"/>
          <w:szCs w:val="24"/>
          <w:highlight w:val="yellow"/>
        </w:rPr>
      </w:pPr>
      <w:r>
        <w:rPr>
          <w:sz w:val="24"/>
          <w:szCs w:val="24"/>
        </w:rPr>
        <w:t>Дата, место подведения итогов аукциона:</w:t>
      </w:r>
      <w:r>
        <w:rPr>
          <w:b/>
          <w:sz w:val="24"/>
          <w:szCs w:val="24"/>
        </w:rPr>
        <w:t xml:space="preserve"> «21» октября </w:t>
      </w:r>
      <w:r>
        <w:rPr>
          <w:sz w:val="24"/>
          <w:szCs w:val="24"/>
        </w:rPr>
        <w:t>2021 года, по адресу: 442960, Пензенская область, г. Заречный, пр. Мира 1.</w:t>
      </w:r>
    </w:p>
    <w:p>
      <w:pPr>
        <w:pStyle w:val="Normal"/>
        <w:tabs>
          <w:tab w:val="clear" w:pos="708"/>
          <w:tab w:val="left" w:pos="851" w:leader="none"/>
          <w:tab w:val="left" w:pos="1134" w:leader="none"/>
        </w:tabs>
        <w:spacing w:lineRule="auto" w:line="240"/>
        <w:ind w:right="57" w:firstLine="709"/>
        <w:jc w:val="both"/>
        <w:rPr>
          <w:sz w:val="16"/>
          <w:szCs w:val="16"/>
        </w:rPr>
      </w:pPr>
      <w:r>
        <w:rPr>
          <w:sz w:val="16"/>
          <w:szCs w:val="16"/>
        </w:rPr>
      </w:r>
    </w:p>
    <w:p>
      <w:pPr>
        <w:pStyle w:val="Normal"/>
        <w:widowControl/>
        <w:numPr>
          <w:ilvl w:val="0"/>
          <w:numId w:val="5"/>
        </w:numPr>
        <w:tabs>
          <w:tab w:val="clear" w:pos="708"/>
          <w:tab w:val="left" w:pos="1134" w:leader="none"/>
        </w:tabs>
        <w:spacing w:lineRule="auto" w:line="240"/>
        <w:ind w:left="1069" w:right="57" w:hanging="360"/>
        <w:jc w:val="center"/>
        <w:rPr>
          <w:b/>
          <w:b/>
          <w:bCs/>
          <w:sz w:val="24"/>
          <w:szCs w:val="24"/>
        </w:rPr>
      </w:pPr>
      <w:r>
        <w:rPr>
          <w:b/>
          <w:bCs/>
          <w:sz w:val="24"/>
          <w:szCs w:val="24"/>
        </w:rPr>
        <w:t>Срок и порядок регистрации на электронной площадке.</w:t>
      </w:r>
    </w:p>
    <w:p>
      <w:pPr>
        <w:pStyle w:val="Normal"/>
        <w:widowControl/>
        <w:tabs>
          <w:tab w:val="clear" w:pos="708"/>
          <w:tab w:val="left" w:pos="1134" w:leader="none"/>
        </w:tabs>
        <w:spacing w:lineRule="auto" w:line="240"/>
        <w:ind w:left="709" w:right="57" w:hanging="0"/>
        <w:jc w:val="center"/>
        <w:rPr>
          <w:b/>
          <w:b/>
          <w:bCs/>
          <w:sz w:val="8"/>
          <w:szCs w:val="16"/>
        </w:rPr>
      </w:pPr>
      <w:r>
        <w:rPr>
          <w:b/>
          <w:bCs/>
          <w:sz w:val="8"/>
          <w:szCs w:val="16"/>
        </w:rPr>
      </w:r>
    </w:p>
    <w:p>
      <w:pPr>
        <w:pStyle w:val="Normal"/>
        <w:tabs>
          <w:tab w:val="clear" w:pos="708"/>
          <w:tab w:val="left" w:pos="993" w:leader="none"/>
          <w:tab w:val="left" w:pos="1134" w:leader="none"/>
        </w:tabs>
        <w:spacing w:lineRule="auto" w:line="240"/>
        <w:ind w:right="57" w:firstLine="709"/>
        <w:jc w:val="both"/>
        <w:rPr>
          <w:bCs/>
          <w:sz w:val="24"/>
          <w:szCs w:val="24"/>
        </w:rPr>
      </w:pPr>
      <w:r>
        <w:rPr>
          <w:bCs/>
          <w:sz w:val="24"/>
          <w:szCs w:val="24"/>
        </w:rPr>
        <w:t>Для обеспечения доступа к участию в аукционе Претендентам необходимо пройти процедуру регистрации в соответствии с Регламентом электронной торговой площадки (далее ЭТП) Организатора продажи.</w:t>
      </w:r>
    </w:p>
    <w:p>
      <w:pPr>
        <w:pStyle w:val="Normal"/>
        <w:tabs>
          <w:tab w:val="clear" w:pos="708"/>
          <w:tab w:val="left" w:pos="993" w:leader="none"/>
          <w:tab w:val="left" w:pos="1134" w:leader="none"/>
        </w:tabs>
        <w:spacing w:lineRule="auto" w:line="240"/>
        <w:ind w:right="57" w:firstLine="709"/>
        <w:jc w:val="both"/>
        <w:rPr>
          <w:bCs/>
          <w:sz w:val="24"/>
          <w:szCs w:val="24"/>
        </w:rPr>
      </w:pPr>
      <w:r>
        <w:rPr>
          <w:bCs/>
          <w:sz w:val="24"/>
          <w:szCs w:val="24"/>
        </w:rPr>
        <w:t>Дата и время регистрации на ЭТП претендентов для участия в аукционе на повышение цены в электронной форме осуществляется ежедневно, круглосуточно, но не позднее даты и времени окончания подачи (приема) Заявок.</w:t>
      </w:r>
    </w:p>
    <w:p>
      <w:pPr>
        <w:pStyle w:val="Normal"/>
        <w:tabs>
          <w:tab w:val="clear" w:pos="708"/>
          <w:tab w:val="left" w:pos="851" w:leader="none"/>
          <w:tab w:val="left" w:pos="1134" w:leader="none"/>
        </w:tabs>
        <w:spacing w:lineRule="auto" w:line="240"/>
        <w:ind w:right="57" w:firstLine="709"/>
        <w:jc w:val="both"/>
        <w:rPr>
          <w:bCs/>
          <w:sz w:val="24"/>
          <w:szCs w:val="24"/>
        </w:rPr>
      </w:pPr>
      <w:r>
        <w:rPr>
          <w:bCs/>
          <w:sz w:val="24"/>
          <w:szCs w:val="24"/>
        </w:rPr>
        <w:t>Регистрация на ЭТП осуществляется без взимания платы.</w:t>
      </w:r>
    </w:p>
    <w:p>
      <w:pPr>
        <w:pStyle w:val="Normal"/>
        <w:tabs>
          <w:tab w:val="clear" w:pos="708"/>
          <w:tab w:val="left" w:pos="993" w:leader="none"/>
          <w:tab w:val="left" w:pos="1134" w:leader="none"/>
        </w:tabs>
        <w:spacing w:lineRule="auto" w:line="240"/>
        <w:ind w:right="57" w:firstLine="709"/>
        <w:jc w:val="both"/>
        <w:rPr>
          <w:bCs/>
          <w:sz w:val="24"/>
          <w:szCs w:val="24"/>
        </w:rPr>
      </w:pPr>
      <w:r>
        <w:rPr>
          <w:bCs/>
          <w:sz w:val="24"/>
          <w:szCs w:val="24"/>
        </w:rPr>
        <w:t>Регистрации на ЭТП подлежат Претенденты, ранее не зарегистрированные на ЭТП или регистрация которых была ими прекращена.</w:t>
      </w:r>
    </w:p>
    <w:p>
      <w:pPr>
        <w:pStyle w:val="Normal"/>
        <w:tabs>
          <w:tab w:val="clear" w:pos="708"/>
          <w:tab w:val="left" w:pos="851" w:leader="none"/>
          <w:tab w:val="left" w:pos="1134" w:leader="none"/>
        </w:tabs>
        <w:spacing w:lineRule="auto" w:line="240"/>
        <w:ind w:right="57" w:firstLine="709"/>
        <w:jc w:val="both"/>
        <w:rPr>
          <w:bCs/>
          <w:sz w:val="24"/>
          <w:szCs w:val="24"/>
        </w:rPr>
      </w:pPr>
      <w:r>
        <w:rPr>
          <w:bCs/>
          <w:sz w:val="24"/>
          <w:szCs w:val="24"/>
        </w:rPr>
        <w:t>Регистрация на ЭТП проводится в соответствии с Регламентом ЭТП.</w:t>
      </w:r>
    </w:p>
    <w:p>
      <w:pPr>
        <w:pStyle w:val="NoSpacing"/>
        <w:ind w:left="-142" w:firstLine="560"/>
        <w:jc w:val="both"/>
        <w:rPr>
          <w:rFonts w:ascii="Times New Roman" w:hAnsi="Times New Roman"/>
          <w:b/>
          <w:b/>
          <w:color w:val="FF0000"/>
          <w:sz w:val="16"/>
          <w:szCs w:val="16"/>
          <w:lang w:val="ru-RU"/>
        </w:rPr>
      </w:pPr>
      <w:r>
        <w:rPr>
          <w:rFonts w:ascii="Times New Roman" w:hAnsi="Times New Roman"/>
          <w:b/>
          <w:color w:val="FF0000"/>
          <w:sz w:val="16"/>
          <w:szCs w:val="16"/>
          <w:lang w:val="ru-RU"/>
        </w:rPr>
      </w:r>
    </w:p>
    <w:p>
      <w:pPr>
        <w:pStyle w:val="Normal"/>
        <w:widowControl/>
        <w:numPr>
          <w:ilvl w:val="0"/>
          <w:numId w:val="5"/>
        </w:numPr>
        <w:tabs>
          <w:tab w:val="clear" w:pos="708"/>
          <w:tab w:val="left" w:pos="1134" w:leader="none"/>
        </w:tabs>
        <w:spacing w:lineRule="auto" w:line="240"/>
        <w:ind w:left="1069" w:right="57" w:hanging="360"/>
        <w:jc w:val="center"/>
        <w:rPr>
          <w:b/>
          <w:b/>
          <w:sz w:val="24"/>
          <w:szCs w:val="24"/>
        </w:rPr>
      </w:pPr>
      <w:r>
        <w:rPr>
          <w:b/>
          <w:sz w:val="24"/>
          <w:szCs w:val="24"/>
        </w:rPr>
        <w:t>Порядок подачи (приема) и отзыва заявок.</w:t>
      </w:r>
    </w:p>
    <w:p>
      <w:pPr>
        <w:pStyle w:val="Normal"/>
        <w:widowControl/>
        <w:tabs>
          <w:tab w:val="clear" w:pos="708"/>
          <w:tab w:val="left" w:pos="1134" w:leader="none"/>
        </w:tabs>
        <w:spacing w:lineRule="auto" w:line="240"/>
        <w:ind w:left="709" w:right="57" w:hanging="0"/>
        <w:rPr>
          <w:b/>
          <w:b/>
          <w:sz w:val="8"/>
          <w:szCs w:val="16"/>
        </w:rPr>
      </w:pPr>
      <w:r>
        <w:rPr>
          <w:b/>
          <w:sz w:val="8"/>
          <w:szCs w:val="16"/>
        </w:rPr>
      </w:r>
    </w:p>
    <w:p>
      <w:pPr>
        <w:pStyle w:val="Normal"/>
        <w:tabs>
          <w:tab w:val="clear" w:pos="708"/>
          <w:tab w:val="left" w:pos="993" w:leader="none"/>
          <w:tab w:val="left" w:pos="1134" w:leader="none"/>
        </w:tabs>
        <w:spacing w:lineRule="auto" w:line="240"/>
        <w:ind w:right="57" w:firstLine="709"/>
        <w:jc w:val="both"/>
        <w:rPr>
          <w:bCs/>
          <w:sz w:val="24"/>
          <w:szCs w:val="24"/>
        </w:rPr>
      </w:pPr>
      <w:r>
        <w:rPr>
          <w:sz w:val="24"/>
          <w:szCs w:val="24"/>
        </w:rPr>
        <w:t>Прием заявок и прилагаемых к ним документов начинается с даты и времени, указанных в информационном сообщении о проведении аукциона на повышение цены в электронной форме и</w:t>
      </w:r>
      <w:r>
        <w:rPr>
          <w:bCs/>
          <w:sz w:val="24"/>
          <w:szCs w:val="24"/>
        </w:rPr>
        <w:t xml:space="preserve"> осуществляется в сроки, установленные в Информационном сообщении.</w:t>
      </w:r>
    </w:p>
    <w:p>
      <w:pPr>
        <w:pStyle w:val="Normal"/>
        <w:tabs>
          <w:tab w:val="clear" w:pos="708"/>
          <w:tab w:val="left" w:pos="993" w:leader="none"/>
          <w:tab w:val="left" w:pos="1134" w:leader="none"/>
        </w:tabs>
        <w:spacing w:lineRule="auto" w:line="240"/>
        <w:ind w:right="57" w:firstLine="709"/>
        <w:jc w:val="both"/>
        <w:rPr>
          <w:bCs/>
          <w:sz w:val="24"/>
          <w:szCs w:val="24"/>
        </w:rPr>
      </w:pPr>
      <w:r>
        <w:rPr>
          <w:bCs/>
          <w:sz w:val="24"/>
          <w:szCs w:val="24"/>
        </w:rPr>
        <w:t>Задаток на участие в аукционе вносится путем перечисления денежных средств на лицевой счет Претендента, открытый при регистрации на электронной площадке. Назначение платежа – задаток для участия в аукционе №___ по продаже муниципального имущества. Платежи по перечислению задатка для участия в торгах и порядок возврата задатка осуществляется в соответствии с Регламентом электронной площадки.</w:t>
      </w:r>
    </w:p>
    <w:p>
      <w:pPr>
        <w:pStyle w:val="Normal"/>
        <w:spacing w:lineRule="auto" w:line="240"/>
        <w:jc w:val="both"/>
        <w:rPr>
          <w:sz w:val="24"/>
          <w:szCs w:val="24"/>
        </w:rPr>
      </w:pPr>
      <w:r>
        <w:rPr>
          <w:sz w:val="24"/>
          <w:szCs w:val="24"/>
        </w:rPr>
        <w:t xml:space="preserve"> </w:t>
      </w:r>
      <w:r>
        <w:rPr>
          <w:sz w:val="24"/>
          <w:szCs w:val="24"/>
        </w:rPr>
        <w:t>Заявка (приложение № 1) подается путем заполнения ее электронной формы, размещенной в открытой части электронной площадки, с приложением электронных образов документов.</w:t>
      </w:r>
    </w:p>
    <w:p>
      <w:pPr>
        <w:pStyle w:val="Normal"/>
        <w:spacing w:lineRule="auto" w:line="240"/>
        <w:ind w:right="57" w:firstLine="560"/>
        <w:jc w:val="both"/>
        <w:rPr>
          <w:sz w:val="24"/>
          <w:szCs w:val="24"/>
        </w:rPr>
      </w:pPr>
      <w:r>
        <w:rPr>
          <w:sz w:val="24"/>
          <w:szCs w:val="24"/>
        </w:rPr>
        <w:t>Одно лицо имеет право подать только одну заявку.</w:t>
      </w:r>
    </w:p>
    <w:p>
      <w:pPr>
        <w:pStyle w:val="Normal"/>
        <w:spacing w:lineRule="auto" w:line="240"/>
        <w:ind w:right="57" w:firstLine="560"/>
        <w:jc w:val="both"/>
        <w:rPr>
          <w:bCs/>
          <w:sz w:val="24"/>
          <w:szCs w:val="24"/>
        </w:rPr>
      </w:pPr>
      <w:r>
        <w:rPr>
          <w:bCs/>
          <w:sz w:val="24"/>
          <w:szCs w:val="24"/>
        </w:rPr>
        <w:t>При приеме заявок от Претендентов Оператор ЭТП обеспечивает:</w:t>
      </w:r>
    </w:p>
    <w:p>
      <w:pPr>
        <w:pStyle w:val="Normal"/>
        <w:widowControl/>
        <w:numPr>
          <w:ilvl w:val="0"/>
          <w:numId w:val="6"/>
        </w:numPr>
        <w:spacing w:lineRule="auto" w:line="240"/>
        <w:ind w:left="0" w:right="57" w:firstLine="709"/>
        <w:jc w:val="both"/>
        <w:rPr>
          <w:bCs/>
          <w:sz w:val="24"/>
          <w:szCs w:val="24"/>
        </w:rPr>
      </w:pPr>
      <w:r>
        <w:rPr>
          <w:bCs/>
          <w:sz w:val="24"/>
          <w:szCs w:val="24"/>
        </w:rPr>
        <w:t>регистрацию заявок и прилагаемых к ним документов в журнале приема заявок. Каждой заявке присваивается номер с указанием даты и времени приема;</w:t>
      </w:r>
    </w:p>
    <w:p>
      <w:pPr>
        <w:pStyle w:val="Normal"/>
        <w:widowControl/>
        <w:numPr>
          <w:ilvl w:val="0"/>
          <w:numId w:val="6"/>
        </w:numPr>
        <w:spacing w:lineRule="auto" w:line="240"/>
        <w:ind w:left="0" w:right="57" w:firstLine="709"/>
        <w:jc w:val="both"/>
        <w:rPr>
          <w:bCs/>
          <w:sz w:val="24"/>
          <w:szCs w:val="24"/>
        </w:rPr>
      </w:pPr>
      <w:r>
        <w:rPr>
          <w:bCs/>
          <w:sz w:val="24"/>
          <w:szCs w:val="24"/>
        </w:rPr>
        <w:t>конфиденциальность данных о Претендентах и Участниках.</w:t>
      </w:r>
    </w:p>
    <w:p>
      <w:pPr>
        <w:pStyle w:val="Normal"/>
        <w:spacing w:lineRule="auto" w:line="240"/>
        <w:ind w:right="57" w:firstLine="709"/>
        <w:jc w:val="both"/>
        <w:rPr>
          <w:bCs/>
          <w:sz w:val="24"/>
          <w:szCs w:val="24"/>
        </w:rPr>
      </w:pPr>
      <w:r>
        <w:rPr>
          <w:bCs/>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pPr>
        <w:pStyle w:val="Normal"/>
        <w:spacing w:lineRule="auto" w:line="240"/>
        <w:ind w:right="57" w:firstLine="709"/>
        <w:jc w:val="both"/>
        <w:rPr>
          <w:bCs/>
          <w:sz w:val="24"/>
          <w:szCs w:val="24"/>
        </w:rPr>
      </w:pPr>
      <w:r>
        <w:rPr>
          <w:bCs/>
          <w:sz w:val="24"/>
          <w:szCs w:val="24"/>
        </w:rPr>
        <w:t>Заявки с прилагаемыми к ним документами, поданные с нарушением установленного срока, на электронной площадке не регистрируются.</w:t>
      </w:r>
    </w:p>
    <w:p>
      <w:pPr>
        <w:pStyle w:val="Normal"/>
        <w:spacing w:lineRule="auto" w:line="240"/>
        <w:ind w:right="57" w:firstLine="709"/>
        <w:jc w:val="both"/>
        <w:rPr>
          <w:bCs/>
          <w:sz w:val="24"/>
          <w:szCs w:val="24"/>
        </w:rPr>
      </w:pPr>
      <w:r>
        <w:rPr>
          <w:bCs/>
          <w:sz w:val="24"/>
          <w:szCs w:val="24"/>
        </w:rPr>
        <w:t>Претендент вправе не позднее дня окончания приема заявок отозвать заявку путем направления уведомления об отзыве заявки на ЭТП.</w:t>
      </w:r>
    </w:p>
    <w:p>
      <w:pPr>
        <w:pStyle w:val="Normal"/>
        <w:spacing w:lineRule="auto" w:line="240"/>
        <w:ind w:right="57" w:firstLine="709"/>
        <w:jc w:val="both"/>
        <w:rPr>
          <w:bCs/>
          <w:sz w:val="24"/>
          <w:szCs w:val="24"/>
        </w:rPr>
      </w:pPr>
      <w:r>
        <w:rPr>
          <w:bCs/>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pPr>
        <w:pStyle w:val="Normal"/>
        <w:spacing w:lineRule="auto" w:line="240"/>
        <w:ind w:right="57" w:firstLine="709"/>
        <w:jc w:val="both"/>
        <w:rPr>
          <w:bCs/>
          <w:sz w:val="24"/>
          <w:szCs w:val="24"/>
        </w:rPr>
      </w:pPr>
      <w:r>
        <w:rPr>
          <w:bCs/>
          <w:sz w:val="24"/>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pPr>
        <w:pStyle w:val="Normal"/>
        <w:tabs>
          <w:tab w:val="clear" w:pos="708"/>
          <w:tab w:val="left" w:pos="1260" w:leader="none"/>
          <w:tab w:val="left" w:pos="7740" w:leader="none"/>
          <w:tab w:val="left" w:pos="9639" w:leader="none"/>
        </w:tabs>
        <w:spacing w:lineRule="auto" w:line="240"/>
        <w:ind w:left="-142" w:firstLine="709"/>
        <w:jc w:val="both"/>
        <w:rPr>
          <w:sz w:val="16"/>
          <w:szCs w:val="16"/>
        </w:rPr>
      </w:pPr>
      <w:r>
        <w:rPr>
          <w:sz w:val="16"/>
          <w:szCs w:val="16"/>
        </w:rPr>
      </w:r>
    </w:p>
    <w:p>
      <w:pPr>
        <w:pStyle w:val="ListParagraph"/>
        <w:tabs>
          <w:tab w:val="clear" w:pos="708"/>
          <w:tab w:val="left" w:pos="284" w:leader="none"/>
          <w:tab w:val="left" w:pos="1134" w:leader="none"/>
        </w:tabs>
        <w:spacing w:lineRule="auto" w:line="240" w:before="0" w:after="0"/>
        <w:ind w:left="709" w:hanging="0"/>
        <w:contextualSpacing/>
        <w:jc w:val="center"/>
        <w:rPr>
          <w:b/>
          <w:b/>
          <w:bCs/>
          <w:sz w:val="24"/>
          <w:szCs w:val="24"/>
          <w:lang w:eastAsia="ru-RU"/>
        </w:rPr>
      </w:pPr>
      <w:r>
        <w:rPr>
          <w:b/>
          <w:bCs/>
          <w:sz w:val="24"/>
          <w:szCs w:val="24"/>
          <w:lang w:eastAsia="ru-RU"/>
        </w:rPr>
        <w:t>8.</w:t>
        <w:tab/>
        <w:t>Требования, предъявляемые к участникам торгов.</w:t>
      </w:r>
    </w:p>
    <w:p>
      <w:pPr>
        <w:pStyle w:val="ListParagraph"/>
        <w:tabs>
          <w:tab w:val="clear" w:pos="708"/>
          <w:tab w:val="left" w:pos="284" w:leader="none"/>
          <w:tab w:val="left" w:pos="1134" w:leader="none"/>
        </w:tabs>
        <w:spacing w:lineRule="auto" w:line="240" w:before="0" w:after="0"/>
        <w:ind w:left="709" w:hanging="0"/>
        <w:contextualSpacing/>
        <w:rPr>
          <w:b/>
          <w:b/>
          <w:bCs/>
          <w:sz w:val="8"/>
          <w:szCs w:val="16"/>
          <w:lang w:eastAsia="ru-RU"/>
        </w:rPr>
      </w:pPr>
      <w:r>
        <w:rPr>
          <w:b/>
          <w:bCs/>
          <w:sz w:val="8"/>
          <w:szCs w:val="16"/>
          <w:lang w:eastAsia="ru-RU"/>
        </w:rPr>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8.1. Участник аукциона должен соответствовать требованиям, предъявляемым законодательством Российской Федерации в том числе:</w:t>
      </w:r>
    </w:p>
    <w:p>
      <w:pPr>
        <w:pStyle w:val="Normal"/>
        <w:widowControl/>
        <w:numPr>
          <w:ilvl w:val="0"/>
          <w:numId w:val="7"/>
        </w:numPr>
        <w:tabs>
          <w:tab w:val="clear" w:pos="708"/>
          <w:tab w:val="left" w:pos="284" w:leader="none"/>
          <w:tab w:val="left" w:pos="1134" w:leader="none"/>
        </w:tabs>
        <w:spacing w:lineRule="auto" w:line="240"/>
        <w:ind w:left="0" w:firstLine="709"/>
        <w:jc w:val="both"/>
        <w:rPr>
          <w:bCs/>
          <w:sz w:val="24"/>
          <w:szCs w:val="24"/>
        </w:rPr>
      </w:pPr>
      <w:r>
        <w:rPr>
          <w:bCs/>
          <w:sz w:val="24"/>
          <w:szCs w:val="24"/>
        </w:rPr>
        <w:t>быть правомочным заключать договор;</w:t>
      </w:r>
    </w:p>
    <w:p>
      <w:pPr>
        <w:pStyle w:val="Normal"/>
        <w:widowControl/>
        <w:numPr>
          <w:ilvl w:val="0"/>
          <w:numId w:val="7"/>
        </w:numPr>
        <w:tabs>
          <w:tab w:val="clear" w:pos="708"/>
          <w:tab w:val="left" w:pos="284" w:leader="none"/>
          <w:tab w:val="left" w:pos="1134" w:leader="none"/>
        </w:tabs>
        <w:spacing w:lineRule="auto" w:line="240"/>
        <w:ind w:left="0" w:firstLine="709"/>
        <w:jc w:val="both"/>
        <w:rPr>
          <w:bCs/>
          <w:sz w:val="24"/>
          <w:szCs w:val="24"/>
        </w:rPr>
      </w:pPr>
      <w:r>
        <w:rPr>
          <w:bCs/>
          <w:sz w:val="24"/>
          <w:szCs w:val="24"/>
        </w:rPr>
        <w:t>не должен иметь судебных разбирательств, связанных с неисполнением им договорных обязательств перед третьими лицами;</w:t>
      </w:r>
    </w:p>
    <w:p>
      <w:pPr>
        <w:pStyle w:val="Normal"/>
        <w:widowControl/>
        <w:numPr>
          <w:ilvl w:val="0"/>
          <w:numId w:val="7"/>
        </w:numPr>
        <w:tabs>
          <w:tab w:val="clear" w:pos="708"/>
          <w:tab w:val="left" w:pos="284" w:leader="none"/>
          <w:tab w:val="left" w:pos="1134" w:leader="none"/>
        </w:tabs>
        <w:spacing w:lineRule="auto" w:line="240"/>
        <w:ind w:left="0" w:firstLine="709"/>
        <w:jc w:val="both"/>
        <w:rPr>
          <w:bCs/>
          <w:sz w:val="24"/>
          <w:szCs w:val="24"/>
        </w:rPr>
      </w:pPr>
      <w:r>
        <w:rPr>
          <w:bCs/>
          <w:sz w:val="24"/>
          <w:szCs w:val="24"/>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pPr>
        <w:pStyle w:val="Normal"/>
        <w:widowControl/>
        <w:tabs>
          <w:tab w:val="clear" w:pos="708"/>
          <w:tab w:val="left" w:pos="284" w:leader="none"/>
          <w:tab w:val="left" w:pos="1134" w:leader="none"/>
        </w:tabs>
        <w:spacing w:lineRule="auto" w:line="240"/>
        <w:ind w:hanging="0"/>
        <w:jc w:val="both"/>
        <w:rPr>
          <w:bCs/>
          <w:sz w:val="24"/>
          <w:szCs w:val="24"/>
        </w:rPr>
      </w:pPr>
      <w:r>
        <w:rPr>
          <w:bCs/>
          <w:sz w:val="24"/>
          <w:szCs w:val="24"/>
        </w:rPr>
        <w:t xml:space="preserve">           </w:t>
      </w:r>
      <w:r>
        <w:rPr>
          <w:bCs/>
          <w:sz w:val="24"/>
          <w:szCs w:val="24"/>
        </w:rPr>
        <w:t>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процедуре закупки не принято.</w:t>
      </w:r>
    </w:p>
    <w:p>
      <w:pPr>
        <w:pStyle w:val="Normal"/>
        <w:widowControl/>
        <w:numPr>
          <w:ilvl w:val="0"/>
          <w:numId w:val="7"/>
        </w:numPr>
        <w:tabs>
          <w:tab w:val="clear" w:pos="708"/>
          <w:tab w:val="left" w:pos="284" w:leader="none"/>
          <w:tab w:val="left" w:pos="1134" w:leader="none"/>
        </w:tabs>
        <w:spacing w:lineRule="auto" w:line="240"/>
        <w:ind w:left="0" w:firstLine="709"/>
        <w:jc w:val="both"/>
        <w:rPr>
          <w:bCs/>
          <w:sz w:val="24"/>
          <w:szCs w:val="24"/>
        </w:rPr>
      </w:pPr>
      <w:r>
        <w:rPr>
          <w:bCs/>
          <w:sz w:val="24"/>
          <w:szCs w:val="24"/>
        </w:rPr>
        <w:t>не должен находиться под процедурой банкротства, в процессе ликвидации или реорганизации, на его имущество не наложен арест.</w:t>
      </w:r>
    </w:p>
    <w:p>
      <w:pPr>
        <w:pStyle w:val="Normal"/>
        <w:widowControl/>
        <w:spacing w:lineRule="auto" w:line="240"/>
        <w:ind w:left="-142" w:firstLine="568"/>
        <w:jc w:val="both"/>
        <w:rPr>
          <w:bCs/>
          <w:iCs/>
          <w:sz w:val="24"/>
          <w:szCs w:val="24"/>
        </w:rPr>
      </w:pPr>
      <w:r>
        <w:rPr>
          <w:bCs/>
          <w:iCs/>
          <w:sz w:val="24"/>
          <w:szCs w:val="24"/>
        </w:rPr>
        <w:t xml:space="preserve">    </w:t>
      </w:r>
      <w:r>
        <w:rPr>
          <w:bCs/>
          <w:iCs/>
          <w:sz w:val="24"/>
          <w:szCs w:val="24"/>
        </w:rPr>
        <w:t>8.2. Ограничения участия отдельных категорий физических и юридических лиц:</w:t>
      </w:r>
    </w:p>
    <w:p>
      <w:pPr>
        <w:pStyle w:val="Normal"/>
        <w:spacing w:lineRule="auto" w:line="240"/>
        <w:ind w:left="-142" w:firstLine="568"/>
        <w:jc w:val="both"/>
        <w:rPr>
          <w:sz w:val="24"/>
          <w:szCs w:val="24"/>
        </w:rPr>
      </w:pPr>
      <w:r>
        <w:rPr>
          <w:sz w:val="24"/>
          <w:szCs w:val="24"/>
        </w:rPr>
        <w:t xml:space="preserve">    </w:t>
      </w:r>
      <w:r>
        <w:rPr>
          <w:sz w:val="24"/>
          <w:szCs w:val="24"/>
        </w:rPr>
        <w:t>Претендентами на покупку имущества могут быть физические и юридические лица в соответствии Федеральным законом от 21.12.2001 № 178-ФЗ «О приватизации государственного и муниципального имущества».</w:t>
      </w:r>
    </w:p>
    <w:p>
      <w:pPr>
        <w:pStyle w:val="Normal"/>
        <w:spacing w:lineRule="auto" w:line="240"/>
        <w:ind w:left="-142" w:firstLine="568"/>
        <w:jc w:val="both"/>
        <w:rPr>
          <w:sz w:val="24"/>
          <w:szCs w:val="24"/>
        </w:rPr>
      </w:pPr>
      <w:r>
        <w:rPr>
          <w:sz w:val="24"/>
          <w:szCs w:val="24"/>
        </w:rPr>
        <w:t xml:space="preserve">   </w:t>
      </w:r>
      <w:r>
        <w:rPr>
          <w:sz w:val="24"/>
          <w:szCs w:val="24"/>
        </w:rPr>
        <w:t xml:space="preserve">Покупателями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pPr>
        <w:pStyle w:val="Normal"/>
        <w:spacing w:lineRule="auto" w:line="240"/>
        <w:ind w:left="-142" w:firstLine="568"/>
        <w:jc w:val="both"/>
        <w:rPr>
          <w:sz w:val="24"/>
          <w:szCs w:val="24"/>
        </w:rPr>
      </w:pPr>
      <w:r>
        <w:rPr>
          <w:sz w:val="24"/>
          <w:szCs w:val="24"/>
        </w:rPr>
        <w:t xml:space="preserve">  </w:t>
      </w:r>
      <w:r>
        <w:rPr>
          <w:sz w:val="24"/>
          <w:szCs w:val="24"/>
        </w:rPr>
        <w:t>Установленные федеральным законом ограничения участия в гражданских отношениях отдельных категорий юридических лиц действуют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и обязательны при реализации имущества.</w:t>
      </w:r>
    </w:p>
    <w:p>
      <w:pPr>
        <w:pStyle w:val="Normal"/>
        <w:widowControl/>
        <w:numPr>
          <w:ilvl w:val="0"/>
          <w:numId w:val="0"/>
        </w:numPr>
        <w:spacing w:lineRule="auto" w:line="240"/>
        <w:ind w:left="-142" w:firstLine="709"/>
        <w:jc w:val="both"/>
        <w:outlineLvl w:val="1"/>
        <w:rPr>
          <w:sz w:val="24"/>
          <w:szCs w:val="24"/>
        </w:rPr>
      </w:pPr>
      <w:r>
        <w:rPr>
          <w:sz w:val="24"/>
          <w:szCs w:val="24"/>
        </w:rPr>
        <w:t>8.3. В случае если впоследствии будет установлено, что Покупатель имущества не имел законное право на его приобретение, соответствующая сделка признается ничтожной.</w:t>
      </w:r>
    </w:p>
    <w:p>
      <w:pPr>
        <w:pStyle w:val="Normal"/>
        <w:tabs>
          <w:tab w:val="clear" w:pos="708"/>
          <w:tab w:val="left" w:pos="284" w:leader="none"/>
          <w:tab w:val="left" w:pos="1134" w:leader="none"/>
        </w:tabs>
        <w:spacing w:lineRule="auto" w:line="240"/>
        <w:ind w:firstLine="709"/>
        <w:jc w:val="center"/>
        <w:rPr>
          <w:b/>
          <w:b/>
          <w:bCs/>
          <w:sz w:val="24"/>
          <w:szCs w:val="24"/>
        </w:rPr>
      </w:pPr>
      <w:r>
        <w:rPr>
          <w:b/>
          <w:bCs/>
          <w:sz w:val="24"/>
          <w:szCs w:val="24"/>
        </w:rPr>
      </w:r>
    </w:p>
    <w:p>
      <w:pPr>
        <w:pStyle w:val="Normal"/>
        <w:numPr>
          <w:ilvl w:val="0"/>
          <w:numId w:val="9"/>
        </w:numPr>
        <w:tabs>
          <w:tab w:val="clear" w:pos="708"/>
          <w:tab w:val="left" w:pos="284" w:leader="none"/>
          <w:tab w:val="left" w:pos="1134" w:leader="none"/>
        </w:tabs>
        <w:spacing w:lineRule="auto" w:line="240"/>
        <w:jc w:val="center"/>
        <w:rPr>
          <w:b/>
          <w:b/>
          <w:bCs/>
          <w:sz w:val="24"/>
          <w:szCs w:val="24"/>
        </w:rPr>
      </w:pPr>
      <w:r>
        <w:rPr>
          <w:b/>
          <w:sz w:val="24"/>
          <w:szCs w:val="24"/>
        </w:rPr>
        <w:t>Перечень документов для участия в аукционе и требования к их оформлению</w:t>
      </w:r>
    </w:p>
    <w:p>
      <w:pPr>
        <w:pStyle w:val="Normal"/>
        <w:tabs>
          <w:tab w:val="clear" w:pos="708"/>
          <w:tab w:val="left" w:pos="284" w:leader="none"/>
          <w:tab w:val="left" w:pos="1134" w:leader="none"/>
        </w:tabs>
        <w:spacing w:lineRule="auto" w:line="240"/>
        <w:ind w:firstLine="709"/>
        <w:jc w:val="both"/>
        <w:rPr>
          <w:b/>
          <w:b/>
          <w:bCs/>
          <w:sz w:val="8"/>
          <w:szCs w:val="16"/>
        </w:rPr>
      </w:pPr>
      <w:r>
        <w:rPr>
          <w:b/>
          <w:color w:val="FF0000"/>
          <w:sz w:val="24"/>
          <w:szCs w:val="24"/>
        </w:rPr>
        <w:tab/>
      </w:r>
    </w:p>
    <w:p>
      <w:pPr>
        <w:pStyle w:val="Normal"/>
        <w:numPr>
          <w:ilvl w:val="1"/>
          <w:numId w:val="8"/>
        </w:numPr>
        <w:tabs>
          <w:tab w:val="clear" w:pos="708"/>
          <w:tab w:val="left" w:pos="284" w:leader="none"/>
          <w:tab w:val="left" w:pos="1134" w:leader="none"/>
        </w:tabs>
        <w:spacing w:lineRule="auto" w:line="240"/>
        <w:jc w:val="both"/>
        <w:rPr/>
      </w:pPr>
      <w:r>
        <w:rPr>
          <w:bCs/>
          <w:sz w:val="24"/>
          <w:szCs w:val="24"/>
        </w:rPr>
        <w:t xml:space="preserve"> </w:t>
      </w:r>
      <w:r>
        <w:rPr>
          <w:bCs/>
          <w:sz w:val="24"/>
          <w:szCs w:val="24"/>
        </w:rPr>
        <w:t xml:space="preserve">Заявка на участие в аукционе </w:t>
      </w:r>
      <w:r>
        <w:rPr>
          <w:sz w:val="24"/>
          <w:szCs w:val="24"/>
        </w:rPr>
        <w:t xml:space="preserve">по утвержденной Продавцом Форме 1 согласно Приложению 1 к настоящему информационному сообщению. </w:t>
      </w:r>
    </w:p>
    <w:p>
      <w:pPr>
        <w:pStyle w:val="Normal"/>
        <w:numPr>
          <w:ilvl w:val="1"/>
          <w:numId w:val="8"/>
        </w:numPr>
        <w:tabs>
          <w:tab w:val="clear" w:pos="708"/>
          <w:tab w:val="left" w:pos="284" w:leader="none"/>
          <w:tab w:val="left" w:pos="1134" w:leader="none"/>
        </w:tabs>
        <w:spacing w:lineRule="auto" w:line="240"/>
        <w:jc w:val="both"/>
        <w:rPr>
          <w:bCs/>
          <w:sz w:val="24"/>
          <w:szCs w:val="24"/>
        </w:rPr>
      </w:pPr>
      <w:r>
        <w:rPr>
          <w:bCs/>
          <w:sz w:val="24"/>
          <w:szCs w:val="24"/>
        </w:rPr>
        <w:t xml:space="preserve"> </w:t>
      </w:r>
      <w:r>
        <w:rPr>
          <w:bCs/>
          <w:sz w:val="24"/>
          <w:szCs w:val="24"/>
        </w:rPr>
        <w:t xml:space="preserve">Одновременно с заявкой претенденты представляют следующие документы: </w:t>
      </w:r>
    </w:p>
    <w:p>
      <w:pPr>
        <w:pStyle w:val="Normal"/>
        <w:tabs>
          <w:tab w:val="clear" w:pos="708"/>
          <w:tab w:val="left" w:pos="284" w:leader="none"/>
          <w:tab w:val="left" w:pos="1134" w:leader="none"/>
        </w:tabs>
        <w:spacing w:lineRule="auto" w:line="240"/>
        <w:ind w:firstLine="709"/>
        <w:jc w:val="both"/>
        <w:rPr>
          <w:highlight w:val="yellow"/>
        </w:rPr>
      </w:pPr>
      <w:r>
        <w:rPr>
          <w:sz w:val="24"/>
          <w:szCs w:val="24"/>
        </w:rPr>
        <w:t xml:space="preserve">- </w:t>
      </w:r>
      <w:r>
        <w:rPr>
          <w:rStyle w:val="12"/>
          <w:spacing w:val="-8"/>
          <w:kern w:val="2"/>
          <w:sz w:val="24"/>
          <w:szCs w:val="24"/>
        </w:rPr>
        <w:t>заверенную копию, действующую на момент передачи имущества, лицензии на осуществление заготовки, хранения, переработки и реализации лома черных металлов, цветных металлов</w:t>
      </w:r>
      <w:r>
        <w:rPr>
          <w:sz w:val="24"/>
          <w:szCs w:val="24"/>
        </w:rPr>
        <w:t>;</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 xml:space="preserve">9.2.1. юридические лица: </w:t>
      </w:r>
    </w:p>
    <w:p>
      <w:pPr>
        <w:pStyle w:val="ConsPlusNormal"/>
        <w:widowControl/>
        <w:ind w:left="-142" w:firstLine="709"/>
        <w:jc w:val="both"/>
        <w:rPr/>
      </w:pPr>
      <w:r>
        <w:rPr>
          <w:rFonts w:cs="Times New Roman" w:ascii="Times New Roman" w:hAnsi="Times New Roman"/>
          <w:bCs/>
          <w:sz w:val="24"/>
          <w:szCs w:val="24"/>
        </w:rPr>
        <w:t xml:space="preserve">- заверенные копии учредительных документов </w:t>
      </w:r>
      <w:r>
        <w:rPr>
          <w:rFonts w:cs="Times New Roman" w:ascii="Times New Roman" w:hAnsi="Times New Roman"/>
          <w:sz w:val="24"/>
          <w:szCs w:val="24"/>
        </w:rPr>
        <w:t>(свидетельство о государственной регистрации, устав, свидетельство о постановке на учет в налоговом органе, выписка из Единого государственного реестра юридических лиц, полученная не ранее чем за шесть месяцев до дня проведения аукциона);</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9.2.2. физические лица:</w:t>
      </w:r>
    </w:p>
    <w:p>
      <w:pPr>
        <w:pStyle w:val="Normal"/>
        <w:tabs>
          <w:tab w:val="clear" w:pos="708"/>
          <w:tab w:val="left" w:pos="284" w:leader="none"/>
          <w:tab w:val="left" w:pos="1134" w:leader="none"/>
        </w:tabs>
        <w:spacing w:lineRule="auto" w:line="240"/>
        <w:ind w:firstLine="709"/>
        <w:jc w:val="both"/>
        <w:rPr/>
      </w:pPr>
      <w:r>
        <w:rPr>
          <w:bCs/>
          <w:sz w:val="24"/>
          <w:szCs w:val="24"/>
        </w:rPr>
        <w:t>- документ удостоверяющий личность (копии всех его листов).</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9.3.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9.4.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9.5. Заявка и иные представленные одновременно с ней документы подаются в форме электронных документов оператору ЭТП.</w:t>
      </w:r>
    </w:p>
    <w:p>
      <w:pPr>
        <w:pStyle w:val="Normal"/>
        <w:tabs>
          <w:tab w:val="clear" w:pos="708"/>
          <w:tab w:val="left" w:pos="284" w:leader="none"/>
          <w:tab w:val="left" w:pos="1134" w:leader="none"/>
        </w:tabs>
        <w:spacing w:lineRule="auto" w:line="240"/>
        <w:ind w:firstLine="709"/>
        <w:jc w:val="both"/>
        <w:rPr>
          <w:bCs/>
          <w:sz w:val="16"/>
          <w:szCs w:val="16"/>
        </w:rPr>
      </w:pPr>
      <w:r>
        <w:rPr>
          <w:bCs/>
          <w:sz w:val="16"/>
          <w:szCs w:val="16"/>
        </w:rPr>
      </w:r>
    </w:p>
    <w:p>
      <w:pPr>
        <w:pStyle w:val="Normal"/>
        <w:spacing w:lineRule="auto" w:line="240"/>
        <w:ind w:right="57" w:firstLine="709"/>
        <w:jc w:val="center"/>
        <w:rPr>
          <w:b/>
          <w:b/>
          <w:bCs/>
          <w:sz w:val="24"/>
          <w:szCs w:val="24"/>
        </w:rPr>
      </w:pPr>
      <w:r>
        <w:rPr>
          <w:b/>
          <w:bCs/>
          <w:sz w:val="24"/>
          <w:szCs w:val="24"/>
        </w:rPr>
        <w:t>10. Порядок внесения задатка и его возврата</w:t>
      </w:r>
    </w:p>
    <w:p>
      <w:pPr>
        <w:pStyle w:val="Normal"/>
        <w:spacing w:lineRule="auto" w:line="240"/>
        <w:ind w:right="57" w:firstLine="709"/>
        <w:jc w:val="center"/>
        <w:rPr>
          <w:b/>
          <w:b/>
          <w:bCs/>
          <w:sz w:val="18"/>
          <w:szCs w:val="18"/>
        </w:rPr>
      </w:pPr>
      <w:r>
        <w:rPr>
          <w:b/>
          <w:bCs/>
          <w:sz w:val="18"/>
          <w:szCs w:val="18"/>
        </w:rPr>
      </w:r>
    </w:p>
    <w:p>
      <w:pPr>
        <w:pStyle w:val="Normal"/>
        <w:spacing w:lineRule="auto" w:line="240"/>
        <w:ind w:right="57" w:firstLine="560"/>
        <w:jc w:val="both"/>
        <w:rPr>
          <w:b/>
          <w:b/>
          <w:bCs/>
          <w:sz w:val="24"/>
          <w:szCs w:val="24"/>
        </w:rPr>
      </w:pPr>
      <w:r>
        <w:rPr>
          <w:bCs/>
          <w:sz w:val="24"/>
          <w:szCs w:val="24"/>
        </w:rPr>
        <w:t>10.1.</w:t>
      </w:r>
      <w:r>
        <w:rPr>
          <w:b/>
          <w:bCs/>
          <w:sz w:val="24"/>
          <w:szCs w:val="24"/>
        </w:rPr>
        <w:t xml:space="preserve"> </w:t>
      </w:r>
      <w:r>
        <w:rPr>
          <w:bCs/>
          <w:sz w:val="24"/>
          <w:szCs w:val="24"/>
        </w:rPr>
        <w:t>Порядок внесения задатка.</w:t>
      </w:r>
    </w:p>
    <w:p>
      <w:pPr>
        <w:pStyle w:val="Normal"/>
        <w:spacing w:lineRule="auto" w:line="240"/>
        <w:ind w:left="-180" w:right="57" w:firstLine="709"/>
        <w:jc w:val="both"/>
        <w:rPr>
          <w:bCs/>
          <w:sz w:val="24"/>
          <w:szCs w:val="24"/>
        </w:rPr>
      </w:pPr>
      <w:r>
        <w:rPr>
          <w:bCs/>
          <w:sz w:val="24"/>
          <w:szCs w:val="24"/>
        </w:rPr>
        <w:t>10.1.1.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spacing w:lineRule="auto" w:line="240"/>
        <w:ind w:right="57" w:firstLine="560"/>
        <w:jc w:val="both"/>
        <w:rPr>
          <w:bCs/>
          <w:sz w:val="24"/>
          <w:szCs w:val="24"/>
        </w:rPr>
      </w:pPr>
      <w:r>
        <w:rPr>
          <w:bCs/>
          <w:sz w:val="24"/>
          <w:szCs w:val="24"/>
        </w:rPr>
        <w:t xml:space="preserve"> </w:t>
      </w:r>
      <w:r>
        <w:rPr>
          <w:bCs/>
          <w:sz w:val="24"/>
          <w:szCs w:val="24"/>
        </w:rPr>
        <w:t>Задаток на участие в аукционе вносится путем перечисления денежных средств на лицевой счет Претендента, открытый при регистрации на электронной площадке.  Платежи по перечислению задатка для участия в торгах и порядок возврата задатка осуществляется в соответствии с Регламентом электронной площадки.</w:t>
      </w:r>
    </w:p>
    <w:p>
      <w:pPr>
        <w:pStyle w:val="Normal"/>
        <w:spacing w:lineRule="auto" w:line="240"/>
        <w:jc w:val="both"/>
        <w:rPr>
          <w:sz w:val="24"/>
          <w:szCs w:val="24"/>
        </w:rPr>
      </w:pPr>
      <w:r>
        <w:rPr>
          <w:sz w:val="24"/>
          <w:szCs w:val="24"/>
        </w:rPr>
        <w:t>Заявка (Приложение № 1) подается путем заполнения ее электронной формы, размещенной в открытой части электронной площадки, с приложением электронных образов документов.</w:t>
      </w:r>
    </w:p>
    <w:p>
      <w:pPr>
        <w:pStyle w:val="Normal"/>
        <w:spacing w:lineRule="auto" w:line="240"/>
        <w:ind w:right="57" w:firstLine="709"/>
        <w:jc w:val="both"/>
        <w:rPr>
          <w:sz w:val="24"/>
          <w:szCs w:val="24"/>
        </w:rPr>
      </w:pPr>
      <w:r>
        <w:rPr>
          <w:sz w:val="24"/>
          <w:szCs w:val="24"/>
        </w:rPr>
        <w:t>Одно лицо имеет право подать только одну заявку.</w:t>
      </w:r>
    </w:p>
    <w:p>
      <w:pPr>
        <w:pStyle w:val="Normal"/>
        <w:spacing w:lineRule="auto" w:line="240"/>
        <w:ind w:right="57" w:firstLine="709"/>
        <w:jc w:val="both"/>
        <w:rPr>
          <w:bCs/>
          <w:sz w:val="24"/>
          <w:szCs w:val="24"/>
        </w:rPr>
      </w:pPr>
      <w:r>
        <w:rPr>
          <w:bCs/>
          <w:sz w:val="24"/>
          <w:szCs w:val="24"/>
        </w:rPr>
        <w:t>При приеме заявок от Претендентов Оператор торговой площадки обеспечивает:</w:t>
      </w:r>
    </w:p>
    <w:p>
      <w:pPr>
        <w:pStyle w:val="Normal"/>
        <w:widowControl/>
        <w:numPr>
          <w:ilvl w:val="0"/>
          <w:numId w:val="6"/>
        </w:numPr>
        <w:spacing w:lineRule="auto" w:line="240"/>
        <w:ind w:left="0" w:right="57" w:firstLine="709"/>
        <w:jc w:val="both"/>
        <w:rPr>
          <w:bCs/>
          <w:sz w:val="24"/>
          <w:szCs w:val="24"/>
        </w:rPr>
      </w:pPr>
      <w:r>
        <w:rPr>
          <w:bCs/>
          <w:sz w:val="24"/>
          <w:szCs w:val="24"/>
        </w:rPr>
        <w:t>регистрацию заявок и прилагаемых к ним документов в журнале приема заявок. Каждой заявке присваивается номер с указанием даты и времени приема;</w:t>
      </w:r>
    </w:p>
    <w:p>
      <w:pPr>
        <w:pStyle w:val="Normal"/>
        <w:widowControl/>
        <w:numPr>
          <w:ilvl w:val="0"/>
          <w:numId w:val="6"/>
        </w:numPr>
        <w:spacing w:lineRule="auto" w:line="240"/>
        <w:ind w:left="0" w:right="57" w:firstLine="709"/>
        <w:jc w:val="both"/>
        <w:rPr>
          <w:bCs/>
          <w:sz w:val="24"/>
          <w:szCs w:val="24"/>
        </w:rPr>
      </w:pPr>
      <w:r>
        <w:rPr>
          <w:bCs/>
          <w:sz w:val="24"/>
          <w:szCs w:val="24"/>
        </w:rPr>
        <w:t>конфиденциальность данных о Претендентах и Участниках.</w:t>
      </w:r>
    </w:p>
    <w:p>
      <w:pPr>
        <w:pStyle w:val="Normal"/>
        <w:spacing w:lineRule="auto" w:line="240"/>
        <w:ind w:right="57" w:firstLine="709"/>
        <w:jc w:val="both"/>
        <w:rPr>
          <w:bCs/>
          <w:sz w:val="24"/>
          <w:szCs w:val="24"/>
        </w:rPr>
      </w:pPr>
      <w:r>
        <w:rPr>
          <w:bCs/>
          <w:sz w:val="24"/>
          <w:szCs w:val="24"/>
        </w:rPr>
        <w:t>В течение одного часа со времени поступления заявки Оператор ЭТП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pPr>
        <w:pStyle w:val="Normal"/>
        <w:spacing w:lineRule="auto" w:line="240"/>
        <w:ind w:right="57" w:firstLine="709"/>
        <w:jc w:val="both"/>
        <w:rPr>
          <w:bCs/>
          <w:sz w:val="24"/>
          <w:szCs w:val="24"/>
        </w:rPr>
      </w:pPr>
      <w:r>
        <w:rPr>
          <w:bCs/>
          <w:sz w:val="24"/>
          <w:szCs w:val="24"/>
        </w:rPr>
        <w:t>Заявки с прилагаемыми к ним документами, поданные с нарушением установленного срока, на ЭТП не регистрируются.</w:t>
      </w:r>
    </w:p>
    <w:p>
      <w:pPr>
        <w:pStyle w:val="Normal"/>
        <w:spacing w:lineRule="auto" w:line="240"/>
        <w:ind w:right="57" w:firstLine="709"/>
        <w:jc w:val="both"/>
        <w:rPr>
          <w:bCs/>
          <w:sz w:val="24"/>
          <w:szCs w:val="24"/>
        </w:rPr>
      </w:pPr>
      <w:r>
        <w:rPr>
          <w:bCs/>
          <w:sz w:val="24"/>
          <w:szCs w:val="24"/>
        </w:rPr>
        <w:t>Претендент вправе не позднее дня окончания приема заявок отозвать заявку путем направления уведомления об отзыве заявки на ЭТП.</w:t>
      </w:r>
    </w:p>
    <w:p>
      <w:pPr>
        <w:pStyle w:val="Normal"/>
        <w:spacing w:lineRule="auto" w:line="240"/>
        <w:ind w:right="57" w:firstLine="709"/>
        <w:jc w:val="both"/>
        <w:rPr>
          <w:bCs/>
          <w:sz w:val="24"/>
          <w:szCs w:val="24"/>
        </w:rPr>
      </w:pPr>
      <w:r>
        <w:rPr>
          <w:bCs/>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pPr>
        <w:pStyle w:val="Normal"/>
        <w:spacing w:lineRule="auto" w:line="240"/>
        <w:ind w:right="57" w:firstLine="709"/>
        <w:jc w:val="both"/>
        <w:rPr>
          <w:bCs/>
          <w:sz w:val="24"/>
          <w:szCs w:val="24"/>
        </w:rPr>
      </w:pPr>
      <w:r>
        <w:rPr>
          <w:bCs/>
          <w:sz w:val="24"/>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pPr>
        <w:pStyle w:val="Normal"/>
        <w:tabs>
          <w:tab w:val="clear" w:pos="708"/>
          <w:tab w:val="left" w:pos="1134" w:leader="none"/>
        </w:tabs>
        <w:spacing w:lineRule="auto" w:line="240"/>
        <w:ind w:right="57" w:firstLine="560"/>
        <w:jc w:val="both"/>
        <w:rPr>
          <w:bCs/>
          <w:sz w:val="24"/>
          <w:szCs w:val="24"/>
        </w:rPr>
      </w:pPr>
      <w:r>
        <w:rPr>
          <w:bCs/>
          <w:sz w:val="24"/>
          <w:szCs w:val="24"/>
        </w:rPr>
        <w:t>10.2.</w:t>
        <w:tab/>
        <w:t>Порядок возврата задатка:</w:t>
      </w:r>
    </w:p>
    <w:p>
      <w:pPr>
        <w:pStyle w:val="Normal"/>
        <w:tabs>
          <w:tab w:val="clear" w:pos="708"/>
          <w:tab w:val="left" w:pos="1134" w:leader="none"/>
        </w:tabs>
        <w:spacing w:lineRule="auto" w:line="240"/>
        <w:ind w:right="57" w:hanging="0"/>
        <w:jc w:val="both"/>
        <w:rPr>
          <w:bCs/>
          <w:sz w:val="24"/>
          <w:szCs w:val="24"/>
        </w:rPr>
      </w:pPr>
      <w:r>
        <w:rPr>
          <w:bCs/>
          <w:sz w:val="24"/>
          <w:szCs w:val="24"/>
        </w:rPr>
        <w:t xml:space="preserve">         </w:t>
      </w:r>
      <w:r>
        <w:rPr>
          <w:bCs/>
          <w:sz w:val="24"/>
          <w:szCs w:val="24"/>
        </w:rPr>
        <w:t>10.2.1.</w:t>
        <w:tab/>
        <w:t>Претендентам  (за исключением Победителя), перечислившим задаток для участия в аукционе на повышение цены, денежные средства возвращаются в следующем порядке:</w:t>
      </w:r>
    </w:p>
    <w:p>
      <w:pPr>
        <w:pStyle w:val="Normal"/>
        <w:tabs>
          <w:tab w:val="clear" w:pos="708"/>
          <w:tab w:val="left" w:pos="1134" w:leader="none"/>
        </w:tabs>
        <w:spacing w:lineRule="auto" w:line="240"/>
        <w:ind w:right="57" w:firstLine="560"/>
        <w:jc w:val="both"/>
        <w:rPr>
          <w:bCs/>
          <w:sz w:val="24"/>
          <w:szCs w:val="24"/>
        </w:rPr>
      </w:pPr>
      <w:r>
        <w:rPr>
          <w:bCs/>
          <w:sz w:val="24"/>
          <w:szCs w:val="24"/>
        </w:rPr>
        <w:t>а) в течение 5 (пяти) календарных дней со дня подведения итогов аукциона;</w:t>
      </w:r>
    </w:p>
    <w:p>
      <w:pPr>
        <w:pStyle w:val="Normal"/>
        <w:tabs>
          <w:tab w:val="clear" w:pos="708"/>
          <w:tab w:val="left" w:pos="1134" w:leader="none"/>
        </w:tabs>
        <w:spacing w:lineRule="auto" w:line="240"/>
        <w:ind w:right="57" w:hanging="0"/>
        <w:jc w:val="both"/>
        <w:rPr>
          <w:bCs/>
          <w:sz w:val="24"/>
          <w:szCs w:val="24"/>
        </w:rPr>
      </w:pPr>
      <w:r>
        <w:rPr>
          <w:bCs/>
          <w:sz w:val="24"/>
          <w:szCs w:val="24"/>
        </w:rPr>
        <w:t xml:space="preserve">         </w:t>
      </w:r>
      <w:r>
        <w:rPr>
          <w:bCs/>
          <w:sz w:val="24"/>
          <w:szCs w:val="24"/>
        </w:rPr>
        <w:t>б)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w:t>
      </w:r>
    </w:p>
    <w:p>
      <w:pPr>
        <w:pStyle w:val="Normal"/>
        <w:tabs>
          <w:tab w:val="clear" w:pos="708"/>
          <w:tab w:val="left" w:pos="900" w:leader="none"/>
        </w:tabs>
        <w:spacing w:lineRule="auto" w:line="240"/>
        <w:ind w:right="57" w:hanging="0"/>
        <w:jc w:val="both"/>
        <w:rPr>
          <w:bCs/>
          <w:sz w:val="24"/>
          <w:szCs w:val="24"/>
        </w:rPr>
      </w:pPr>
      <w:r>
        <w:rPr>
          <w:bCs/>
          <w:sz w:val="24"/>
          <w:szCs w:val="24"/>
        </w:rPr>
        <w:t xml:space="preserve">          </w:t>
      </w:r>
      <w:r>
        <w:rPr>
          <w:bCs/>
          <w:sz w:val="24"/>
          <w:szCs w:val="24"/>
        </w:rPr>
        <w:t>в)</w:t>
        <w:tab/>
        <w:t>в случае отзыва претендентом в установленном порядке заявки до даты окончания приёма заявок поступивший от претендента задаток подлежит возврату в срок не позднее чем 5 (пять) дней со дня поступления уведомления об отзыве заявки.</w:t>
      </w:r>
    </w:p>
    <w:p>
      <w:pPr>
        <w:pStyle w:val="Normal"/>
        <w:tabs>
          <w:tab w:val="clear" w:pos="708"/>
          <w:tab w:val="left" w:pos="1134" w:leader="none"/>
        </w:tabs>
        <w:spacing w:lineRule="auto" w:line="240"/>
        <w:ind w:right="57" w:firstLine="540"/>
        <w:jc w:val="both"/>
        <w:rPr>
          <w:bCs/>
          <w:sz w:val="24"/>
          <w:szCs w:val="24"/>
        </w:rPr>
      </w:pPr>
      <w:r>
        <w:rPr>
          <w:bCs/>
          <w:sz w:val="24"/>
          <w:szCs w:val="24"/>
        </w:rPr>
        <w:t>10.2.2.</w:t>
        <w:tab/>
        <w:t>В случае отзыва претендентом заявки, поступивший задаток подлежит возврату в течение 10 (десяти) календарных дней со дня поступления уведомления об отзыве заявки.</w:t>
      </w:r>
    </w:p>
    <w:p>
      <w:pPr>
        <w:pStyle w:val="Normal"/>
        <w:tabs>
          <w:tab w:val="clear" w:pos="708"/>
          <w:tab w:val="left" w:pos="1134" w:leader="none"/>
        </w:tabs>
        <w:spacing w:lineRule="auto" w:line="240"/>
        <w:ind w:right="57" w:firstLine="540"/>
        <w:jc w:val="both"/>
        <w:rPr>
          <w:bCs/>
          <w:sz w:val="24"/>
          <w:szCs w:val="24"/>
        </w:rPr>
      </w:pPr>
      <w:r>
        <w:rPr>
          <w:bCs/>
          <w:sz w:val="24"/>
          <w:szCs w:val="24"/>
        </w:rPr>
        <w:t>10.2.3.</w:t>
        <w:tab/>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pPr>
        <w:pStyle w:val="Normal"/>
        <w:tabs>
          <w:tab w:val="clear" w:pos="708"/>
          <w:tab w:val="left" w:pos="1260" w:leader="none"/>
          <w:tab w:val="left" w:pos="7740" w:leader="none"/>
          <w:tab w:val="left" w:pos="9072" w:leader="none"/>
          <w:tab w:val="left" w:pos="9639" w:leader="none"/>
        </w:tabs>
        <w:spacing w:lineRule="auto" w:line="240"/>
        <w:ind w:left="-142" w:firstLine="709"/>
        <w:jc w:val="both"/>
        <w:rPr>
          <w:sz w:val="24"/>
          <w:szCs w:val="24"/>
        </w:rPr>
      </w:pPr>
      <w:r>
        <w:rPr>
          <w:sz w:val="24"/>
          <w:szCs w:val="24"/>
        </w:rPr>
        <w:t>10.2.4. В случае признания аукциона несостоявшимся, Продавец обязуется возвратить задаток в том порядке, в каком он был внесен Претендентом, в течение 5 (пяти) рабочих дней со дня подведения итогов аукциона;</w:t>
      </w:r>
    </w:p>
    <w:p>
      <w:pPr>
        <w:pStyle w:val="Normal"/>
        <w:tabs>
          <w:tab w:val="clear" w:pos="708"/>
          <w:tab w:val="left" w:pos="1260" w:leader="none"/>
          <w:tab w:val="left" w:pos="7740" w:leader="none"/>
          <w:tab w:val="left" w:pos="9072" w:leader="none"/>
          <w:tab w:val="left" w:pos="9639" w:leader="none"/>
        </w:tabs>
        <w:spacing w:lineRule="auto" w:line="240"/>
        <w:ind w:left="-142" w:firstLine="709"/>
        <w:jc w:val="both"/>
        <w:rPr>
          <w:sz w:val="24"/>
          <w:szCs w:val="24"/>
        </w:rPr>
      </w:pPr>
      <w:r>
        <w:rPr>
          <w:sz w:val="24"/>
          <w:szCs w:val="24"/>
        </w:rPr>
        <w:t>10.2.5. В случае переноса сроков подведения итогов аукциона или отмены аукциона, Продавец обязуется возвратить задаток в том порядке, в каком он был внесен Претендентом, в течение 5 (пяти) рабочих дней со дня опубликования об этом информационного сообщения.</w:t>
      </w:r>
    </w:p>
    <w:p>
      <w:pPr>
        <w:pStyle w:val="Normal"/>
        <w:tabs>
          <w:tab w:val="clear" w:pos="708"/>
          <w:tab w:val="left" w:pos="1260" w:leader="none"/>
          <w:tab w:val="left" w:pos="7740" w:leader="none"/>
          <w:tab w:val="left" w:pos="9072" w:leader="none"/>
          <w:tab w:val="left" w:pos="9639" w:leader="none"/>
        </w:tabs>
        <w:spacing w:lineRule="auto" w:line="240"/>
        <w:ind w:left="-142" w:firstLine="709"/>
        <w:jc w:val="both"/>
        <w:rPr>
          <w:sz w:val="24"/>
          <w:szCs w:val="24"/>
        </w:rPr>
      </w:pPr>
      <w:r>
        <w:rPr>
          <w:sz w:val="24"/>
          <w:szCs w:val="24"/>
        </w:rPr>
        <w:t>10.3. Продавец освобождается от ответственности за несвоевременный возврат задатка Претенденту, если Претендент предоставил недостоверные и (или) неполные сведения о своих реквизитах.</w:t>
      </w:r>
    </w:p>
    <w:p>
      <w:pPr>
        <w:pStyle w:val="Normal"/>
        <w:tabs>
          <w:tab w:val="clear" w:pos="708"/>
          <w:tab w:val="left" w:pos="1260" w:leader="none"/>
          <w:tab w:val="left" w:pos="7740" w:leader="none"/>
          <w:tab w:val="left" w:pos="9072" w:leader="none"/>
          <w:tab w:val="left" w:pos="9639" w:leader="none"/>
        </w:tabs>
        <w:spacing w:lineRule="auto" w:line="240"/>
        <w:ind w:left="-142" w:firstLine="709"/>
        <w:jc w:val="both"/>
        <w:rPr>
          <w:sz w:val="24"/>
          <w:szCs w:val="24"/>
        </w:rPr>
      </w:pPr>
      <w:r>
        <w:rPr>
          <w:sz w:val="24"/>
          <w:szCs w:val="24"/>
        </w:rPr>
        <w:t>10.4. Задаток не возвращается Претенденту в следующих случаях:</w:t>
      </w:r>
    </w:p>
    <w:p>
      <w:pPr>
        <w:pStyle w:val="Normal"/>
        <w:tabs>
          <w:tab w:val="clear" w:pos="708"/>
          <w:tab w:val="left" w:pos="1260" w:leader="none"/>
          <w:tab w:val="left" w:pos="7740" w:leader="none"/>
          <w:tab w:val="left" w:pos="9072" w:leader="none"/>
          <w:tab w:val="left" w:pos="9639" w:leader="none"/>
        </w:tabs>
        <w:spacing w:lineRule="auto" w:line="240"/>
        <w:ind w:left="-142" w:firstLine="709"/>
        <w:jc w:val="both"/>
        <w:rPr>
          <w:sz w:val="24"/>
          <w:szCs w:val="24"/>
        </w:rPr>
      </w:pPr>
      <w:r>
        <w:rPr>
          <w:sz w:val="24"/>
          <w:szCs w:val="24"/>
        </w:rPr>
        <w:t>- если Претендент, признанный победителем аукциона, уклоняется или отказывается от заключения договора купли–продажи имущества в течение 5 (пяти) рабочих дней со дня подведения итогов аукциона;</w:t>
      </w:r>
    </w:p>
    <w:p>
      <w:pPr>
        <w:pStyle w:val="Normal"/>
        <w:tabs>
          <w:tab w:val="clear" w:pos="708"/>
          <w:tab w:val="left" w:pos="1260" w:leader="none"/>
          <w:tab w:val="left" w:pos="7740" w:leader="none"/>
          <w:tab w:val="left" w:pos="9072" w:leader="none"/>
          <w:tab w:val="left" w:pos="9639" w:leader="none"/>
        </w:tabs>
        <w:spacing w:lineRule="auto" w:line="240"/>
        <w:ind w:left="-142" w:firstLine="709"/>
        <w:jc w:val="both"/>
        <w:rPr>
          <w:sz w:val="24"/>
          <w:szCs w:val="24"/>
        </w:rPr>
      </w:pPr>
      <w:r>
        <w:rPr>
          <w:sz w:val="24"/>
          <w:szCs w:val="24"/>
        </w:rPr>
        <w:t>- если Претендент, признанный победителем аукциона и заключивший с Продавцом договор купли-продажи имущества, не исполнил обязанность по оплате этого имущества в соответствии с заключенным договором купли-продажи.</w:t>
      </w:r>
    </w:p>
    <w:p>
      <w:pPr>
        <w:pStyle w:val="Normal"/>
        <w:spacing w:lineRule="auto" w:line="240"/>
        <w:jc w:val="both"/>
        <w:rPr>
          <w:sz w:val="16"/>
          <w:szCs w:val="16"/>
        </w:rPr>
      </w:pPr>
      <w:r>
        <w:rPr>
          <w:sz w:val="24"/>
          <w:szCs w:val="24"/>
        </w:rPr>
        <w:t xml:space="preserve"> </w:t>
      </w:r>
    </w:p>
    <w:p>
      <w:pPr>
        <w:pStyle w:val="Normal"/>
        <w:spacing w:lineRule="auto" w:line="240"/>
        <w:ind w:right="57" w:firstLine="709"/>
        <w:jc w:val="center"/>
        <w:rPr>
          <w:b/>
          <w:b/>
          <w:bCs/>
          <w:sz w:val="24"/>
          <w:szCs w:val="24"/>
        </w:rPr>
      </w:pPr>
      <w:r>
        <w:rPr>
          <w:b/>
          <w:bCs/>
          <w:sz w:val="24"/>
          <w:szCs w:val="24"/>
        </w:rPr>
        <w:t>11.</w:t>
        <w:tab/>
        <w:t>Порядок ознакомления с имуществом, выставляемым на аукцион на повышение цены</w:t>
      </w:r>
    </w:p>
    <w:p>
      <w:pPr>
        <w:pStyle w:val="Normal"/>
        <w:spacing w:lineRule="auto" w:line="240"/>
        <w:ind w:right="57" w:firstLine="709"/>
        <w:jc w:val="center"/>
        <w:rPr>
          <w:b/>
          <w:b/>
          <w:bCs/>
          <w:sz w:val="16"/>
          <w:szCs w:val="16"/>
        </w:rPr>
      </w:pPr>
      <w:r>
        <w:rPr>
          <w:b/>
          <w:bCs/>
          <w:sz w:val="16"/>
          <w:szCs w:val="16"/>
        </w:rPr>
      </w:r>
    </w:p>
    <w:p>
      <w:pPr>
        <w:pStyle w:val="Normal"/>
        <w:spacing w:lineRule="auto" w:line="240"/>
        <w:ind w:right="57" w:firstLine="709"/>
        <w:jc w:val="both"/>
        <w:rPr/>
      </w:pPr>
      <w:r>
        <w:rPr>
          <w:bCs/>
          <w:sz w:val="24"/>
          <w:szCs w:val="24"/>
        </w:rPr>
        <w:t>11.1.</w:t>
        <w:tab/>
        <w:t xml:space="preserve">Информация о проведении аукциона на повышение цены в электронной форме по </w:t>
      </w:r>
      <w:r>
        <w:rPr>
          <w:sz w:val="24"/>
          <w:szCs w:val="24"/>
        </w:rPr>
        <w:t>заключению договора купли-продажи</w:t>
      </w:r>
      <w:r>
        <w:rPr>
          <w:b/>
          <w:sz w:val="24"/>
          <w:szCs w:val="24"/>
        </w:rPr>
        <w:t xml:space="preserve"> </w:t>
      </w:r>
      <w:r>
        <w:rPr>
          <w:bCs/>
          <w:sz w:val="24"/>
          <w:szCs w:val="24"/>
        </w:rPr>
        <w:t xml:space="preserve">имущества размещается на официальном сайте Российской Федерации в сети «Интернет» </w:t>
      </w:r>
      <w:hyperlink r:id="rId6">
        <w:r>
          <w:rPr>
            <w:rStyle w:val="Style13"/>
            <w:bCs/>
            <w:sz w:val="24"/>
            <w:szCs w:val="24"/>
          </w:rPr>
          <w:t>www.torgi.gov.ru</w:t>
        </w:r>
      </w:hyperlink>
      <w:r>
        <w:rPr>
          <w:bCs/>
          <w:sz w:val="24"/>
          <w:szCs w:val="24"/>
          <w:u w:val="single"/>
        </w:rPr>
        <w:t xml:space="preserve"> </w:t>
      </w:r>
      <w:r>
        <w:rPr>
          <w:bCs/>
          <w:sz w:val="24"/>
          <w:szCs w:val="24"/>
        </w:rPr>
        <w:t xml:space="preserve"> и на сайте Оператора ЭТП.</w:t>
      </w:r>
    </w:p>
    <w:p>
      <w:pPr>
        <w:pStyle w:val="Normal"/>
        <w:spacing w:lineRule="auto" w:line="240"/>
        <w:ind w:right="57" w:firstLine="709"/>
        <w:jc w:val="both"/>
        <w:rPr>
          <w:bCs/>
          <w:sz w:val="24"/>
          <w:szCs w:val="24"/>
        </w:rPr>
      </w:pPr>
      <w:r>
        <w:rPr>
          <w:bCs/>
          <w:sz w:val="24"/>
          <w:szCs w:val="24"/>
        </w:rPr>
        <w:t>11.2.</w:t>
        <w:tab/>
        <w:t>Любое лицо независимо от регистрации на ЭТП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pPr>
        <w:pStyle w:val="Normal"/>
        <w:spacing w:lineRule="auto" w:line="240"/>
        <w:ind w:right="57" w:firstLine="709"/>
        <w:jc w:val="both"/>
        <w:rPr>
          <w:bCs/>
          <w:sz w:val="24"/>
          <w:szCs w:val="24"/>
        </w:rPr>
      </w:pPr>
      <w:r>
        <w:rPr>
          <w:bCs/>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срока окончания подачи заявок.</w:t>
      </w:r>
    </w:p>
    <w:p>
      <w:pPr>
        <w:pStyle w:val="Normal"/>
        <w:spacing w:lineRule="auto" w:line="240"/>
        <w:ind w:right="57" w:firstLine="709"/>
        <w:jc w:val="both"/>
        <w:rPr>
          <w:bCs/>
          <w:sz w:val="24"/>
          <w:szCs w:val="24"/>
        </w:rPr>
      </w:pPr>
      <w:r>
        <w:rPr>
          <w:bCs/>
          <w:sz w:val="24"/>
          <w:szCs w:val="24"/>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pPr>
        <w:pStyle w:val="Normal"/>
        <w:spacing w:lineRule="auto" w:line="240"/>
        <w:ind w:right="57" w:firstLine="709"/>
        <w:jc w:val="both"/>
        <w:rPr/>
      </w:pPr>
      <w:r>
        <w:rPr>
          <w:bCs/>
          <w:sz w:val="24"/>
          <w:szCs w:val="24"/>
        </w:rPr>
        <w:t>10.3.</w:t>
        <w:tab/>
        <w:t xml:space="preserve">С дополнительной информацией об имуществе можно ознакомиться по телефонам: </w:t>
      </w:r>
      <w:r>
        <w:rPr>
          <w:sz w:val="24"/>
          <w:szCs w:val="24"/>
        </w:rPr>
        <w:t xml:space="preserve">(8412) 65-17-98 </w:t>
      </w:r>
      <w:r>
        <w:rPr>
          <w:bCs/>
          <w:sz w:val="24"/>
          <w:szCs w:val="24"/>
        </w:rPr>
        <w:t xml:space="preserve">или по адресам электронной почты: </w:t>
      </w:r>
      <w:hyperlink r:id="rId7">
        <w:r>
          <w:rPr>
            <w:rStyle w:val="25"/>
            <w:rFonts w:ascii="Times New Roman;serif" w:hAnsi="Times New Roman;serif"/>
            <w:bCs/>
            <w:kern w:val="2"/>
            <w:sz w:val="24"/>
            <w:szCs w:val="24"/>
            <w:u w:val="single"/>
            <w:lang w:eastAsia="zh-CN"/>
          </w:rPr>
          <w:t>s</w:t>
        </w:r>
      </w:hyperlink>
      <w:hyperlink r:id="rId8">
        <w:r>
          <w:rPr>
            <w:rStyle w:val="25"/>
            <w:rFonts w:ascii="Times New Roman;serif" w:hAnsi="Times New Roman;serif"/>
            <w:bCs/>
            <w:kern w:val="2"/>
            <w:sz w:val="24"/>
            <w:szCs w:val="24"/>
            <w:u w:val="single"/>
            <w:lang w:val="en-US" w:eastAsia="zh-CN"/>
          </w:rPr>
          <w:t>klad</w:t>
        </w:r>
      </w:hyperlink>
      <w:hyperlink r:id="rId9">
        <w:r>
          <w:rPr>
            <w:rStyle w:val="25"/>
            <w:rFonts w:ascii="Times New Roman;serif" w:hAnsi="Times New Roman;serif"/>
            <w:bCs/>
            <w:kern w:val="2"/>
            <w:sz w:val="24"/>
            <w:szCs w:val="24"/>
            <w:u w:val="single"/>
            <w:lang w:eastAsia="zh-CN"/>
          </w:rPr>
          <w:t>@startatom.ru</w:t>
        </w:r>
      </w:hyperlink>
      <w:r>
        <w:rPr>
          <w:rStyle w:val="25"/>
          <w:rFonts w:ascii="Times New Roman;serif" w:hAnsi="Times New Roman;serif"/>
          <w:bCs/>
          <w:kern w:val="2"/>
          <w:sz w:val="24"/>
          <w:szCs w:val="24"/>
          <w:u w:val="single"/>
          <w:lang w:eastAsia="zh-CN"/>
        </w:rPr>
        <w:t>.</w:t>
      </w:r>
    </w:p>
    <w:p>
      <w:pPr>
        <w:pStyle w:val="Normal"/>
        <w:tabs>
          <w:tab w:val="clear" w:pos="708"/>
          <w:tab w:val="left" w:pos="3875" w:leader="none"/>
        </w:tabs>
        <w:spacing w:lineRule="auto" w:line="240"/>
        <w:ind w:right="57" w:firstLine="709"/>
        <w:jc w:val="both"/>
        <w:rPr>
          <w:bCs/>
          <w:sz w:val="24"/>
          <w:szCs w:val="24"/>
        </w:rPr>
      </w:pPr>
      <w:r>
        <w:rPr>
          <w:bCs/>
          <w:sz w:val="24"/>
          <w:szCs w:val="24"/>
        </w:rPr>
      </w:r>
    </w:p>
    <w:p>
      <w:pPr>
        <w:pStyle w:val="Normal"/>
        <w:spacing w:lineRule="auto" w:line="240"/>
        <w:ind w:right="57" w:firstLine="709"/>
        <w:jc w:val="center"/>
        <w:rPr>
          <w:b/>
          <w:b/>
          <w:bCs/>
          <w:sz w:val="24"/>
          <w:szCs w:val="24"/>
        </w:rPr>
      </w:pPr>
      <w:r>
        <w:rPr>
          <w:b/>
          <w:bCs/>
          <w:sz w:val="24"/>
          <w:szCs w:val="24"/>
        </w:rPr>
        <w:t>11.</w:t>
        <w:tab/>
        <w:t>Порядок определения участников аукциона на повышение цены в электронной форме.</w:t>
      </w:r>
    </w:p>
    <w:p>
      <w:pPr>
        <w:pStyle w:val="Normal"/>
        <w:spacing w:lineRule="auto" w:line="240"/>
        <w:ind w:right="57" w:firstLine="709"/>
        <w:jc w:val="both"/>
        <w:rPr>
          <w:bCs/>
          <w:sz w:val="24"/>
          <w:szCs w:val="24"/>
        </w:rPr>
      </w:pPr>
      <w:r>
        <w:rPr>
          <w:bCs/>
          <w:sz w:val="24"/>
          <w:szCs w:val="24"/>
        </w:rPr>
        <w:t>11.1.</w:t>
        <w:tab/>
        <w:t>В день определения участников, указанный в информационном сообщении о продаже имущества на аукционе на повышение цены, Оператор ЭТП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pPr>
        <w:pStyle w:val="Normal"/>
        <w:spacing w:lineRule="auto" w:line="240"/>
        <w:ind w:right="57" w:firstLine="709"/>
        <w:jc w:val="both"/>
        <w:rPr>
          <w:bCs/>
          <w:sz w:val="24"/>
          <w:szCs w:val="24"/>
        </w:rPr>
      </w:pPr>
      <w:r>
        <w:rPr>
          <w:bCs/>
          <w:sz w:val="24"/>
          <w:szCs w:val="24"/>
        </w:rPr>
        <w:t>11.2.</w:t>
        <w:tab/>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на повышение цены в электронной форме, с указанием оснований отказа.</w:t>
      </w:r>
    </w:p>
    <w:p>
      <w:pPr>
        <w:pStyle w:val="Normal"/>
        <w:spacing w:lineRule="auto" w:line="240"/>
        <w:ind w:right="57" w:firstLine="709"/>
        <w:jc w:val="both"/>
        <w:rPr>
          <w:bCs/>
          <w:sz w:val="24"/>
          <w:szCs w:val="24"/>
        </w:rPr>
      </w:pPr>
      <w:r>
        <w:rPr>
          <w:bCs/>
          <w:sz w:val="24"/>
          <w:szCs w:val="24"/>
        </w:rPr>
        <w:t>11.3.</w:t>
        <w:tab/>
        <w:t>Не позднее следующего рабочего дня после дня подписания протокола о признании претендентов участниками всем претендентам, подавшим заявки, ЭТП направляются уведомления о признании их участниками или об отказе в таком признании с указанием оснований отказа.</w:t>
      </w:r>
    </w:p>
    <w:p>
      <w:pPr>
        <w:pStyle w:val="Normal"/>
        <w:spacing w:lineRule="auto" w:line="240"/>
        <w:ind w:right="57" w:firstLine="709"/>
        <w:jc w:val="both"/>
        <w:rPr>
          <w:bCs/>
          <w:sz w:val="24"/>
          <w:szCs w:val="24"/>
        </w:rPr>
      </w:pPr>
      <w:r>
        <w:rPr>
          <w:bCs/>
          <w:sz w:val="24"/>
          <w:szCs w:val="24"/>
        </w:rPr>
        <w:t>11.4.</w:t>
        <w:tab/>
        <w:t>Информация о претендентах, не допущенных к участию в аукционе на повышение цены, размещается в открытой части ЭТП, на официальных сайтах в сети «Интернет», а также на сайте продавца в сети «Интернет» в случае привлечения юридического лица для осуществления функций Продавца федерального имущества.</w:t>
      </w:r>
    </w:p>
    <w:p>
      <w:pPr>
        <w:pStyle w:val="Normal"/>
        <w:spacing w:lineRule="auto" w:line="240"/>
        <w:ind w:right="57" w:firstLine="709"/>
        <w:jc w:val="both"/>
        <w:rPr>
          <w:bCs/>
          <w:sz w:val="24"/>
          <w:szCs w:val="24"/>
        </w:rPr>
      </w:pPr>
      <w:r>
        <w:rPr>
          <w:bCs/>
          <w:sz w:val="24"/>
          <w:szCs w:val="24"/>
        </w:rPr>
        <w:t>11.5.</w:t>
        <w:tab/>
        <w:t>Претендент приобретает статус участника с момента оформления Протокола о признании претендентов участниками.</w:t>
      </w:r>
    </w:p>
    <w:p>
      <w:pPr>
        <w:pStyle w:val="Normal"/>
        <w:spacing w:lineRule="auto" w:line="240"/>
        <w:ind w:right="57" w:firstLine="709"/>
        <w:jc w:val="both"/>
        <w:rPr>
          <w:bCs/>
          <w:sz w:val="24"/>
          <w:szCs w:val="24"/>
        </w:rPr>
      </w:pPr>
      <w:r>
        <w:rPr>
          <w:bCs/>
          <w:sz w:val="24"/>
          <w:szCs w:val="24"/>
        </w:rPr>
        <w:t>11.6.</w:t>
        <w:tab/>
        <w:t>Претендент не допускается к участию в аукционе при отсутствии документа, подтверждающего поступление задатка на счет Продавца.</w:t>
      </w:r>
    </w:p>
    <w:p>
      <w:pPr>
        <w:pStyle w:val="Normal"/>
        <w:spacing w:lineRule="auto" w:line="240"/>
        <w:ind w:right="57" w:firstLine="709"/>
        <w:jc w:val="both"/>
        <w:rPr>
          <w:bCs/>
          <w:sz w:val="24"/>
          <w:szCs w:val="24"/>
        </w:rPr>
      </w:pPr>
      <w:r>
        <w:rPr>
          <w:bCs/>
          <w:sz w:val="24"/>
          <w:szCs w:val="24"/>
        </w:rPr>
        <w:t>11.7.</w:t>
        <w:tab/>
        <w:t>Претендент не допускается к участию в аукционе при предоставлении недостоверных сведений.</w:t>
      </w:r>
    </w:p>
    <w:p>
      <w:pPr>
        <w:pStyle w:val="Normal"/>
        <w:spacing w:lineRule="auto" w:line="240"/>
        <w:ind w:right="57" w:firstLine="709"/>
        <w:jc w:val="both"/>
        <w:rPr>
          <w:bCs/>
          <w:sz w:val="24"/>
          <w:szCs w:val="24"/>
        </w:rPr>
      </w:pPr>
      <w:r>
        <w:rPr>
          <w:bCs/>
          <w:sz w:val="24"/>
          <w:szCs w:val="24"/>
        </w:rPr>
      </w:r>
    </w:p>
    <w:p>
      <w:pPr>
        <w:pStyle w:val="Normal"/>
        <w:spacing w:lineRule="auto" w:line="240"/>
        <w:ind w:right="57" w:firstLine="709"/>
        <w:jc w:val="center"/>
        <w:rPr>
          <w:b/>
          <w:b/>
          <w:bCs/>
          <w:sz w:val="24"/>
          <w:szCs w:val="24"/>
        </w:rPr>
      </w:pPr>
      <w:r>
        <w:rPr>
          <w:b/>
          <w:bCs/>
          <w:sz w:val="24"/>
          <w:szCs w:val="24"/>
        </w:rPr>
        <w:t>12.</w:t>
        <w:tab/>
        <w:t>Порядок проведения аукциона на повышение цены в электронной форме и определения победителя.</w:t>
      </w:r>
    </w:p>
    <w:p>
      <w:pPr>
        <w:pStyle w:val="Normal"/>
        <w:spacing w:lineRule="auto" w:line="240"/>
        <w:ind w:right="57" w:firstLine="709"/>
        <w:jc w:val="both"/>
        <w:rPr>
          <w:bCs/>
          <w:sz w:val="24"/>
          <w:szCs w:val="24"/>
        </w:rPr>
      </w:pPr>
      <w:r>
        <w:rPr>
          <w:bCs/>
          <w:sz w:val="24"/>
          <w:szCs w:val="24"/>
        </w:rPr>
        <w:t>12.1.</w:t>
        <w:tab/>
        <w:t>Аукцион на повышение цены в электронной форме проводится в соответствии с Регламентом ЭТП в указанный в извещении о проведении аукциона день и час путем последовательного повышения участниками начальной цены продажи на величину, равную либо кратную величине «шага аукциона».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pPr>
        <w:pStyle w:val="Normal"/>
        <w:spacing w:lineRule="auto" w:line="240"/>
        <w:ind w:right="57" w:firstLine="709"/>
        <w:jc w:val="both"/>
        <w:rPr>
          <w:bCs/>
          <w:sz w:val="24"/>
          <w:szCs w:val="24"/>
        </w:rPr>
      </w:pPr>
      <w:r>
        <w:rPr>
          <w:bCs/>
          <w:sz w:val="24"/>
          <w:szCs w:val="24"/>
        </w:rPr>
        <w:t>12.2.</w:t>
        <w:tab/>
        <w:t>"Шаг аукциона" устанавливается продавцом в фиксированной сумме и не изменяется в течение всего аукциона.</w:t>
      </w:r>
    </w:p>
    <w:p>
      <w:pPr>
        <w:pStyle w:val="Normal"/>
        <w:spacing w:lineRule="auto" w:line="240"/>
        <w:ind w:right="57" w:firstLine="709"/>
        <w:jc w:val="both"/>
        <w:rPr>
          <w:bCs/>
          <w:sz w:val="24"/>
          <w:szCs w:val="24"/>
        </w:rPr>
      </w:pPr>
      <w:r>
        <w:rPr>
          <w:bCs/>
          <w:sz w:val="24"/>
          <w:szCs w:val="24"/>
        </w:rPr>
        <w:t>12.3.</w:t>
        <w:tab/>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spacing w:lineRule="auto" w:line="240"/>
        <w:ind w:right="57" w:firstLine="709"/>
        <w:jc w:val="both"/>
        <w:rPr>
          <w:bCs/>
          <w:sz w:val="24"/>
          <w:szCs w:val="24"/>
        </w:rPr>
      </w:pPr>
      <w:r>
        <w:rPr>
          <w:bCs/>
          <w:sz w:val="24"/>
          <w:szCs w:val="24"/>
        </w:rPr>
        <w:t>12.4.</w:t>
        <w:tab/>
        <w:t xml:space="preserve"> Со времени начала проведения процедуры аукциона организатором размещается:</w:t>
      </w:r>
    </w:p>
    <w:p>
      <w:pPr>
        <w:pStyle w:val="Normal"/>
        <w:spacing w:lineRule="auto" w:line="240"/>
        <w:ind w:right="57" w:firstLine="709"/>
        <w:jc w:val="both"/>
        <w:rPr>
          <w:bCs/>
          <w:sz w:val="24"/>
          <w:szCs w:val="24"/>
        </w:rPr>
      </w:pPr>
      <w:r>
        <w:rPr>
          <w:bCs/>
          <w:sz w:val="24"/>
          <w:szCs w:val="24"/>
        </w:rPr>
        <w:t>12.4.1</w:t>
        <w:tab/>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pPr>
        <w:pStyle w:val="Normal"/>
        <w:spacing w:lineRule="auto" w:line="240"/>
        <w:ind w:right="57" w:firstLine="709"/>
        <w:jc w:val="both"/>
        <w:rPr>
          <w:bCs/>
          <w:sz w:val="24"/>
          <w:szCs w:val="24"/>
        </w:rPr>
      </w:pPr>
      <w:r>
        <w:rPr>
          <w:bCs/>
          <w:sz w:val="24"/>
          <w:szCs w:val="24"/>
        </w:rPr>
        <w:t>12.4.2</w:t>
        <w:tab/>
        <w:t xml:space="preserve">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pPr>
        <w:pStyle w:val="Normal"/>
        <w:spacing w:lineRule="auto" w:line="240"/>
        <w:ind w:right="57" w:firstLine="709"/>
        <w:jc w:val="both"/>
        <w:rPr>
          <w:bCs/>
          <w:sz w:val="24"/>
          <w:szCs w:val="24"/>
        </w:rPr>
      </w:pPr>
      <w:r>
        <w:rPr>
          <w:bCs/>
          <w:sz w:val="24"/>
          <w:szCs w:val="24"/>
        </w:rPr>
        <w:t>12.5.</w:t>
        <w:tab/>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pPr>
        <w:pStyle w:val="Normal"/>
        <w:spacing w:lineRule="auto" w:line="240"/>
        <w:ind w:right="57" w:firstLine="709"/>
        <w:jc w:val="both"/>
        <w:rPr>
          <w:bCs/>
          <w:sz w:val="24"/>
          <w:szCs w:val="24"/>
        </w:rPr>
      </w:pPr>
      <w:r>
        <w:rPr>
          <w:bCs/>
          <w:sz w:val="24"/>
          <w:szCs w:val="24"/>
        </w:rPr>
        <w:t>12.5.1.</w:t>
        <w:tab/>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spacing w:lineRule="auto" w:line="240"/>
        <w:ind w:right="57" w:firstLine="709"/>
        <w:jc w:val="both"/>
        <w:rPr>
          <w:bCs/>
          <w:sz w:val="24"/>
          <w:szCs w:val="24"/>
        </w:rPr>
      </w:pPr>
      <w:r>
        <w:rPr>
          <w:bCs/>
          <w:sz w:val="24"/>
          <w:szCs w:val="24"/>
        </w:rPr>
        <w:t>12.5.2.</w:t>
        <w:tab/>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pPr>
        <w:pStyle w:val="Normal"/>
        <w:spacing w:lineRule="auto" w:line="240"/>
        <w:ind w:right="57" w:firstLine="709"/>
        <w:jc w:val="both"/>
        <w:rPr>
          <w:bCs/>
          <w:sz w:val="24"/>
          <w:szCs w:val="24"/>
        </w:rPr>
      </w:pPr>
      <w:r>
        <w:rPr>
          <w:bCs/>
          <w:sz w:val="24"/>
          <w:szCs w:val="24"/>
        </w:rPr>
        <w:t>12.6.</w:t>
        <w:tab/>
        <w:t>При этом программными средствами электронной площадки обеспечивается:</w:t>
      </w:r>
    </w:p>
    <w:p>
      <w:pPr>
        <w:pStyle w:val="Normal"/>
        <w:spacing w:lineRule="auto" w:line="240"/>
        <w:ind w:right="57" w:firstLine="709"/>
        <w:jc w:val="both"/>
        <w:rPr>
          <w:bCs/>
          <w:sz w:val="24"/>
          <w:szCs w:val="24"/>
        </w:rPr>
      </w:pPr>
      <w:r>
        <w:rPr>
          <w:bCs/>
          <w:sz w:val="24"/>
          <w:szCs w:val="24"/>
        </w:rPr>
        <w:t>12.6.1.</w:t>
        <w:tab/>
        <w:t>исключение возможности подачи участником предложения о цене имущества, не соответствующего увеличению текущей цены на величину "шага аукциона";</w:t>
      </w:r>
    </w:p>
    <w:p>
      <w:pPr>
        <w:pStyle w:val="Normal"/>
        <w:spacing w:lineRule="auto" w:line="240"/>
        <w:ind w:right="57" w:firstLine="709"/>
        <w:jc w:val="both"/>
        <w:rPr>
          <w:bCs/>
          <w:sz w:val="24"/>
          <w:szCs w:val="24"/>
        </w:rPr>
      </w:pPr>
      <w:r>
        <w:rPr>
          <w:bCs/>
          <w:sz w:val="24"/>
          <w:szCs w:val="24"/>
        </w:rPr>
        <w:t>12.6.2.</w:t>
        <w:tab/>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pPr>
        <w:pStyle w:val="Normal"/>
        <w:spacing w:lineRule="auto" w:line="240"/>
        <w:ind w:right="57" w:firstLine="709"/>
        <w:jc w:val="both"/>
        <w:rPr>
          <w:bCs/>
          <w:spacing w:val="-6"/>
          <w:sz w:val="24"/>
          <w:szCs w:val="24"/>
        </w:rPr>
      </w:pPr>
      <w:r>
        <w:rPr>
          <w:bCs/>
          <w:spacing w:val="-6"/>
          <w:sz w:val="24"/>
          <w:szCs w:val="24"/>
        </w:rPr>
        <w:t>12.7.</w:t>
        <w:tab/>
        <w:t>Победителем признается участник, предложивший наиболее высокую цену имущества.</w:t>
      </w:r>
    </w:p>
    <w:p>
      <w:pPr>
        <w:pStyle w:val="Normal"/>
        <w:spacing w:lineRule="auto" w:line="240"/>
        <w:ind w:right="57" w:firstLine="709"/>
        <w:jc w:val="both"/>
        <w:rPr>
          <w:bCs/>
          <w:sz w:val="24"/>
          <w:szCs w:val="24"/>
        </w:rPr>
      </w:pPr>
      <w:r>
        <w:rPr>
          <w:bCs/>
          <w:sz w:val="24"/>
          <w:szCs w:val="24"/>
        </w:rPr>
        <w:t>12.8.</w:t>
        <w:tab/>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pPr>
        <w:pStyle w:val="NoSpacing"/>
        <w:ind w:left="-142" w:firstLine="560"/>
        <w:jc w:val="both"/>
        <w:rPr>
          <w:rFonts w:ascii="Times New Roman" w:hAnsi="Times New Roman"/>
          <w:b/>
          <w:b/>
          <w:color w:val="FF0000"/>
          <w:sz w:val="16"/>
          <w:szCs w:val="16"/>
          <w:lang w:val="ru-RU"/>
        </w:rPr>
      </w:pPr>
      <w:r>
        <w:rPr>
          <w:rFonts w:ascii="Times New Roman" w:hAnsi="Times New Roman"/>
          <w:b/>
          <w:color w:val="FF0000"/>
          <w:sz w:val="16"/>
          <w:szCs w:val="16"/>
          <w:lang w:val="ru-RU"/>
        </w:rPr>
      </w:r>
    </w:p>
    <w:p>
      <w:pPr>
        <w:pStyle w:val="Normal"/>
        <w:numPr>
          <w:ilvl w:val="0"/>
          <w:numId w:val="10"/>
        </w:numPr>
        <w:spacing w:lineRule="auto" w:line="240"/>
        <w:ind w:left="480" w:right="57" w:hanging="480"/>
        <w:jc w:val="center"/>
        <w:rPr>
          <w:b/>
          <w:b/>
          <w:sz w:val="24"/>
          <w:szCs w:val="24"/>
        </w:rPr>
      </w:pPr>
      <w:r>
        <w:rPr>
          <w:b/>
          <w:sz w:val="24"/>
          <w:szCs w:val="24"/>
        </w:rPr>
        <w:t>Порядок определения победителя</w:t>
      </w:r>
    </w:p>
    <w:p>
      <w:pPr>
        <w:pStyle w:val="Normal"/>
        <w:spacing w:lineRule="auto" w:line="240"/>
        <w:ind w:right="57" w:hanging="0"/>
        <w:jc w:val="center"/>
        <w:rPr>
          <w:b/>
          <w:b/>
          <w:sz w:val="8"/>
          <w:szCs w:val="24"/>
        </w:rPr>
      </w:pPr>
      <w:r>
        <w:rPr>
          <w:b/>
          <w:sz w:val="8"/>
          <w:szCs w:val="24"/>
        </w:rPr>
      </w:r>
    </w:p>
    <w:p>
      <w:pPr>
        <w:pStyle w:val="ListParagraph"/>
        <w:numPr>
          <w:ilvl w:val="1"/>
          <w:numId w:val="10"/>
        </w:numPr>
        <w:spacing w:lineRule="auto" w:line="240" w:before="0" w:after="0"/>
        <w:ind w:left="0" w:right="57" w:firstLine="710"/>
        <w:contextualSpacing/>
        <w:jc w:val="both"/>
        <w:rPr/>
      </w:pPr>
      <w:r>
        <w:rPr>
          <w:sz w:val="24"/>
          <w:szCs w:val="24"/>
          <w:lang w:eastAsia="ru-RU"/>
        </w:rPr>
        <w:t xml:space="preserve"> </w:t>
      </w:r>
      <w:r>
        <w:rPr>
          <w:sz w:val="24"/>
          <w:szCs w:val="24"/>
          <w:lang w:eastAsia="ru-RU"/>
        </w:rPr>
        <w:t xml:space="preserve">Протокол об итогах аукциона удостоверяет право победителя на заключение договора куплт-продажи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pPr>
        <w:pStyle w:val="Normal"/>
        <w:widowControl/>
        <w:numPr>
          <w:ilvl w:val="1"/>
          <w:numId w:val="10"/>
        </w:numPr>
        <w:spacing w:lineRule="auto" w:line="240"/>
        <w:ind w:left="0" w:right="57" w:firstLine="709"/>
        <w:jc w:val="both"/>
        <w:rPr>
          <w:sz w:val="24"/>
          <w:szCs w:val="24"/>
        </w:rPr>
      </w:pPr>
      <w:r>
        <w:rPr>
          <w:sz w:val="24"/>
          <w:szCs w:val="24"/>
        </w:rPr>
        <w:t xml:space="preserve"> </w:t>
      </w:r>
      <w:r>
        <w:rPr>
          <w:sz w:val="24"/>
          <w:szCs w:val="24"/>
        </w:rPr>
        <w:t>Процедура аукциона считается завершенной со времени подписания Продавцом протокола об итогах аукциона.</w:t>
      </w:r>
    </w:p>
    <w:p>
      <w:pPr>
        <w:pStyle w:val="Normal"/>
        <w:widowControl/>
        <w:numPr>
          <w:ilvl w:val="1"/>
          <w:numId w:val="10"/>
        </w:numPr>
        <w:spacing w:lineRule="auto" w:line="240"/>
        <w:ind w:left="0" w:right="57" w:firstLine="709"/>
        <w:jc w:val="both"/>
        <w:rPr>
          <w:sz w:val="24"/>
          <w:szCs w:val="24"/>
        </w:rPr>
      </w:pPr>
      <w:r>
        <w:rPr>
          <w:sz w:val="24"/>
          <w:szCs w:val="24"/>
        </w:rPr>
        <w:t>Аукцион признается несостоявшимся в следующих случаях:</w:t>
      </w:r>
    </w:p>
    <w:p>
      <w:pPr>
        <w:pStyle w:val="Normal"/>
        <w:widowControl/>
        <w:numPr>
          <w:ilvl w:val="2"/>
          <w:numId w:val="10"/>
        </w:numPr>
        <w:spacing w:lineRule="auto" w:line="240"/>
        <w:ind w:left="0" w:right="57" w:firstLine="709"/>
        <w:jc w:val="both"/>
        <w:rPr>
          <w:sz w:val="24"/>
          <w:szCs w:val="24"/>
        </w:rPr>
      </w:pPr>
      <w:r>
        <w:rPr>
          <w:sz w:val="24"/>
          <w:szCs w:val="24"/>
        </w:rPr>
        <w:t xml:space="preserve"> </w:t>
      </w:r>
      <w:r>
        <w:rPr>
          <w:sz w:val="24"/>
          <w:szCs w:val="24"/>
        </w:rPr>
        <w:t>не было подано ни одной заявки на участие либо ни один из претендентов не признан участником;</w:t>
      </w:r>
    </w:p>
    <w:p>
      <w:pPr>
        <w:pStyle w:val="Normal"/>
        <w:widowControl/>
        <w:numPr>
          <w:ilvl w:val="2"/>
          <w:numId w:val="10"/>
        </w:numPr>
        <w:spacing w:lineRule="auto" w:line="240"/>
        <w:ind w:left="0" w:right="57" w:firstLine="709"/>
        <w:jc w:val="both"/>
        <w:rPr>
          <w:sz w:val="24"/>
          <w:szCs w:val="24"/>
        </w:rPr>
      </w:pPr>
      <w:r>
        <w:rPr>
          <w:sz w:val="24"/>
          <w:szCs w:val="24"/>
        </w:rPr>
        <w:t>принято решение о признании только одного претендента участником;</w:t>
      </w:r>
    </w:p>
    <w:p>
      <w:pPr>
        <w:pStyle w:val="Normal"/>
        <w:widowControl/>
        <w:numPr>
          <w:ilvl w:val="2"/>
          <w:numId w:val="10"/>
        </w:numPr>
        <w:spacing w:lineRule="auto" w:line="240"/>
        <w:ind w:left="0" w:right="57" w:firstLine="709"/>
        <w:jc w:val="both"/>
        <w:rPr>
          <w:sz w:val="24"/>
          <w:szCs w:val="24"/>
        </w:rPr>
      </w:pPr>
      <w:r>
        <w:rPr>
          <w:sz w:val="24"/>
          <w:szCs w:val="24"/>
        </w:rPr>
        <w:t>ни один из участников не сделал предложение о начальной цене имущества.</w:t>
      </w:r>
    </w:p>
    <w:p>
      <w:pPr>
        <w:pStyle w:val="Normal"/>
        <w:widowControl/>
        <w:numPr>
          <w:ilvl w:val="1"/>
          <w:numId w:val="10"/>
        </w:numPr>
        <w:spacing w:lineRule="auto" w:line="240"/>
        <w:ind w:left="0" w:right="57" w:firstLine="709"/>
        <w:jc w:val="both"/>
        <w:rPr>
          <w:sz w:val="24"/>
          <w:szCs w:val="24"/>
        </w:rPr>
      </w:pPr>
      <w:r>
        <w:rPr>
          <w:sz w:val="24"/>
          <w:szCs w:val="24"/>
        </w:rPr>
        <w:t xml:space="preserve">Решение о признании аукциона несостоявшимся оформляется протоколом. </w:t>
      </w:r>
    </w:p>
    <w:p>
      <w:pPr>
        <w:pStyle w:val="Normal"/>
        <w:widowControl/>
        <w:numPr>
          <w:ilvl w:val="1"/>
          <w:numId w:val="10"/>
        </w:numPr>
        <w:spacing w:lineRule="auto" w:line="240"/>
        <w:ind w:left="0" w:right="57" w:firstLine="709"/>
        <w:jc w:val="both"/>
        <w:rPr>
          <w:sz w:val="24"/>
          <w:szCs w:val="24"/>
        </w:rPr>
      </w:pPr>
      <w:r>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ЭТП следующая информация:</w:t>
      </w:r>
    </w:p>
    <w:p>
      <w:pPr>
        <w:pStyle w:val="Normal"/>
        <w:widowControl/>
        <w:numPr>
          <w:ilvl w:val="2"/>
          <w:numId w:val="10"/>
        </w:numPr>
        <w:spacing w:lineRule="auto" w:line="240"/>
        <w:ind w:left="0" w:right="57" w:firstLine="709"/>
        <w:jc w:val="both"/>
        <w:rPr>
          <w:sz w:val="24"/>
          <w:szCs w:val="24"/>
        </w:rPr>
      </w:pPr>
      <w:r>
        <w:rPr>
          <w:sz w:val="24"/>
          <w:szCs w:val="24"/>
        </w:rPr>
        <w:t>наименование имущества и иные позволяющие его индивидуализировать сведения (спецификация лота); цена сделки;</w:t>
      </w:r>
    </w:p>
    <w:p>
      <w:pPr>
        <w:pStyle w:val="Normal"/>
        <w:widowControl/>
        <w:numPr>
          <w:ilvl w:val="2"/>
          <w:numId w:val="10"/>
        </w:numPr>
        <w:spacing w:lineRule="auto" w:line="240"/>
        <w:ind w:left="0" w:right="57" w:firstLine="709"/>
        <w:jc w:val="both"/>
        <w:rPr>
          <w:sz w:val="24"/>
          <w:szCs w:val="24"/>
        </w:rPr>
      </w:pPr>
      <w:r>
        <w:rPr>
          <w:sz w:val="24"/>
          <w:szCs w:val="24"/>
        </w:rPr>
        <w:t>фамилия, имя, отчество физического лица или наименование юридического лица - победителя.</w:t>
      </w:r>
    </w:p>
    <w:p>
      <w:pPr>
        <w:pStyle w:val="Normal"/>
        <w:widowControl/>
        <w:spacing w:lineRule="auto" w:line="240"/>
        <w:ind w:right="57" w:hanging="0"/>
        <w:jc w:val="both"/>
        <w:rPr>
          <w:sz w:val="16"/>
          <w:szCs w:val="16"/>
        </w:rPr>
      </w:pPr>
      <w:r>
        <w:rPr>
          <w:sz w:val="16"/>
          <w:szCs w:val="16"/>
        </w:rPr>
      </w:r>
    </w:p>
    <w:p>
      <w:pPr>
        <w:pStyle w:val="ListParagraph"/>
        <w:numPr>
          <w:ilvl w:val="0"/>
          <w:numId w:val="10"/>
        </w:numPr>
        <w:spacing w:lineRule="auto" w:line="240"/>
        <w:jc w:val="center"/>
        <w:rPr>
          <w:sz w:val="24"/>
          <w:szCs w:val="24"/>
          <w:highlight w:val="white"/>
          <w:u w:val="single"/>
        </w:rPr>
      </w:pPr>
      <w:r>
        <w:rPr>
          <w:b/>
          <w:iCs/>
          <w:sz w:val="24"/>
          <w:szCs w:val="24"/>
        </w:rPr>
        <w:t xml:space="preserve">Порядок </w:t>
      </w:r>
      <w:r>
        <w:rPr>
          <w:b/>
          <w:sz w:val="24"/>
          <w:szCs w:val="24"/>
        </w:rPr>
        <w:t>заключения</w:t>
      </w:r>
      <w:r>
        <w:rPr>
          <w:b/>
          <w:iCs/>
          <w:sz w:val="24"/>
          <w:szCs w:val="24"/>
        </w:rPr>
        <w:t xml:space="preserve"> договора купли-продажи </w:t>
      </w:r>
      <w:r>
        <w:rPr>
          <w:b/>
          <w:bCs/>
          <w:iCs/>
          <w:sz w:val="24"/>
          <w:szCs w:val="24"/>
        </w:rPr>
        <w:t xml:space="preserve">имущества </w:t>
      </w:r>
      <w:r>
        <w:rPr>
          <w:b/>
          <w:iCs/>
          <w:sz w:val="24"/>
          <w:szCs w:val="24"/>
        </w:rPr>
        <w:t>по итогам аукциона</w:t>
      </w:r>
    </w:p>
    <w:p>
      <w:pPr>
        <w:pStyle w:val="ListParagraph"/>
        <w:spacing w:lineRule="auto" w:line="240"/>
        <w:ind w:left="0" w:hanging="0"/>
        <w:rPr>
          <w:sz w:val="8"/>
          <w:highlight w:val="white"/>
          <w:u w:val="single"/>
        </w:rPr>
      </w:pPr>
      <w:r>
        <w:rPr>
          <w:sz w:val="8"/>
          <w:highlight w:val="white"/>
          <w:u w:val="single"/>
        </w:rPr>
      </w:r>
    </w:p>
    <w:p>
      <w:pPr>
        <w:pStyle w:val="ListParagraph"/>
        <w:spacing w:lineRule="auto" w:line="240"/>
        <w:ind w:left="0" w:hanging="0"/>
        <w:jc w:val="both"/>
        <w:rPr/>
      </w:pPr>
      <w:r>
        <w:rPr>
          <w:b/>
          <w:iCs/>
        </w:rPr>
        <w:t xml:space="preserve">         </w:t>
      </w:r>
      <w:r>
        <w:rPr>
          <w:sz w:val="24"/>
          <w:szCs w:val="24"/>
        </w:rPr>
        <w:t xml:space="preserve">Договор купли-продажи </w:t>
      </w:r>
      <w:r>
        <w:rPr>
          <w:bCs/>
          <w:iCs/>
          <w:sz w:val="24"/>
          <w:szCs w:val="24"/>
        </w:rPr>
        <w:t xml:space="preserve">имущества (Приложение 2) </w:t>
      </w:r>
      <w:r>
        <w:rPr>
          <w:sz w:val="24"/>
          <w:szCs w:val="24"/>
        </w:rPr>
        <w:t>заключается между Продавцом и победителем аукциона (далее Покупателем) в установленном законодательством порядке в течение 5 (пяти) рабочих дней с даты  подведения итогов аукциона.</w:t>
      </w:r>
    </w:p>
    <w:p>
      <w:pPr>
        <w:pStyle w:val="ListParagraph"/>
        <w:spacing w:lineRule="auto" w:line="240"/>
        <w:ind w:left="0" w:hanging="0"/>
        <w:jc w:val="both"/>
        <w:rPr>
          <w:sz w:val="24"/>
          <w:szCs w:val="24"/>
        </w:rPr>
      </w:pPr>
      <w:r>
        <w:rPr>
          <w:sz w:val="24"/>
          <w:szCs w:val="24"/>
        </w:rPr>
        <w:t xml:space="preserve">          </w:t>
      </w:r>
      <w:r>
        <w:rPr>
          <w:sz w:val="24"/>
          <w:szCs w:val="24"/>
        </w:rPr>
        <w:t xml:space="preserve">При уклонении (отказе) Покупателя от заключения в указанный срок договора купли-продажи </w:t>
      </w:r>
      <w:r>
        <w:rPr>
          <w:bCs/>
          <w:iCs/>
          <w:sz w:val="24"/>
          <w:szCs w:val="24"/>
        </w:rPr>
        <w:t>имущества</w:t>
      </w:r>
      <w:r>
        <w:rPr>
          <w:sz w:val="24"/>
          <w:szCs w:val="24"/>
        </w:rPr>
        <w:t xml:space="preserve"> задаток ему не возвращается, Покупатель утрачивает право на заключение указанного договора купли-продажи. Результаты аукциона аннулируются Продавцом.</w:t>
      </w:r>
    </w:p>
    <w:p>
      <w:pPr>
        <w:pStyle w:val="ListParagraph"/>
        <w:spacing w:lineRule="auto" w:line="240" w:before="0" w:after="0"/>
        <w:ind w:left="-142" w:firstLine="709"/>
        <w:contextualSpacing/>
        <w:jc w:val="both"/>
        <w:rPr>
          <w:rStyle w:val="25"/>
          <w:spacing w:val="-2"/>
          <w:sz w:val="24"/>
          <w:szCs w:val="24"/>
        </w:rPr>
      </w:pPr>
      <w:r>
        <w:rPr>
          <w:spacing w:val="-2"/>
          <w:sz w:val="24"/>
          <w:szCs w:val="24"/>
        </w:rPr>
        <w:t xml:space="preserve">Оплата </w:t>
      </w:r>
      <w:r>
        <w:rPr>
          <w:bCs/>
          <w:iCs/>
          <w:spacing w:val="-2"/>
          <w:sz w:val="24"/>
          <w:szCs w:val="24"/>
        </w:rPr>
        <w:t xml:space="preserve">имущества </w:t>
      </w:r>
      <w:r>
        <w:rPr>
          <w:spacing w:val="-2"/>
          <w:sz w:val="24"/>
          <w:szCs w:val="24"/>
        </w:rPr>
        <w:t xml:space="preserve">Покупателем производится в порядке и сроки, установленные договором купли-продажи </w:t>
      </w:r>
      <w:r>
        <w:rPr>
          <w:bCs/>
          <w:iCs/>
          <w:spacing w:val="-2"/>
          <w:sz w:val="24"/>
          <w:szCs w:val="24"/>
        </w:rPr>
        <w:t xml:space="preserve">имущества. </w:t>
      </w:r>
      <w:r>
        <w:rPr>
          <w:spacing w:val="-2"/>
          <w:sz w:val="24"/>
          <w:szCs w:val="24"/>
          <w:lang w:eastAsia="ru-RU"/>
        </w:rPr>
        <w:t xml:space="preserve"> Покупатель, на основании выставленного Продавцом счета,</w:t>
      </w:r>
      <w:r>
        <w:rPr>
          <w:spacing w:val="-2"/>
          <w:sz w:val="24"/>
          <w:szCs w:val="24"/>
        </w:rPr>
        <w:t xml:space="preserve"> не позднее </w:t>
      </w:r>
      <w:r>
        <w:rPr>
          <w:spacing w:val="-2"/>
          <w:sz w:val="24"/>
          <w:szCs w:val="24"/>
          <w:lang w:eastAsia="ru-RU"/>
        </w:rPr>
        <w:t>3 (трех) рабочих дней со дня заключения договора производит оплату денежных средств на расчетный счет Продавца путем единовременного перечисления. В платежном поручении Покупателя должны быть указаны сведения о наименовании Покупателя, имуществе, дате проведения</w:t>
      </w:r>
      <w:r>
        <w:rPr>
          <w:rStyle w:val="25"/>
          <w:spacing w:val="-2"/>
          <w:sz w:val="24"/>
          <w:szCs w:val="24"/>
        </w:rPr>
        <w:t xml:space="preserve"> аукциона, номере и дате заключения договора, код классификации доходов бюджета.  </w:t>
      </w:r>
    </w:p>
    <w:p>
      <w:pPr>
        <w:pStyle w:val="NoSpacing"/>
        <w:ind w:left="-142" w:firstLine="567"/>
        <w:jc w:val="both"/>
        <w:rPr>
          <w:rFonts w:ascii="Times New Roman" w:hAnsi="Times New Roman"/>
          <w:sz w:val="24"/>
          <w:szCs w:val="24"/>
          <w:lang w:val="ru-RU"/>
        </w:rPr>
      </w:pPr>
      <w:r>
        <w:rPr>
          <w:rStyle w:val="25"/>
          <w:rFonts w:ascii="Times New Roman" w:hAnsi="Times New Roman"/>
          <w:sz w:val="24"/>
          <w:szCs w:val="24"/>
          <w:lang w:val="ru-RU"/>
        </w:rPr>
        <w:t xml:space="preserve">  </w:t>
      </w:r>
      <w:r>
        <w:rPr>
          <w:rStyle w:val="25"/>
          <w:rFonts w:ascii="Times New Roman" w:hAnsi="Times New Roman"/>
          <w:sz w:val="24"/>
          <w:szCs w:val="24"/>
          <w:lang w:val="ru-RU"/>
        </w:rPr>
        <w:t>Задаток, перечисленный Продавцу в качестве обеспечения участия в аукционе засчитывается в оплату имущества с момента заключения договора.</w:t>
      </w:r>
    </w:p>
    <w:p>
      <w:pPr>
        <w:pStyle w:val="NoSpacing"/>
        <w:tabs>
          <w:tab w:val="clear" w:pos="708"/>
          <w:tab w:val="left" w:pos="4193" w:leader="none"/>
        </w:tabs>
        <w:ind w:left="-142" w:firstLine="560"/>
        <w:jc w:val="both"/>
        <w:rPr>
          <w:rFonts w:ascii="Times New Roman" w:hAnsi="Times New Roman"/>
          <w:b/>
          <w:b/>
          <w:color w:val="FF0000"/>
          <w:sz w:val="16"/>
          <w:szCs w:val="16"/>
          <w:lang w:val="ru-RU"/>
        </w:rPr>
      </w:pPr>
      <w:r>
        <w:rPr>
          <w:rFonts w:ascii="Times New Roman" w:hAnsi="Times New Roman"/>
          <w:b/>
          <w:color w:val="FF0000"/>
          <w:sz w:val="16"/>
          <w:szCs w:val="16"/>
          <w:lang w:val="ru-RU"/>
        </w:rPr>
      </w:r>
    </w:p>
    <w:p>
      <w:pPr>
        <w:pStyle w:val="Style20"/>
        <w:numPr>
          <w:ilvl w:val="0"/>
          <w:numId w:val="10"/>
        </w:numPr>
        <w:spacing w:lineRule="auto" w:line="276"/>
        <w:jc w:val="center"/>
        <w:rPr>
          <w:b/>
          <w:b/>
        </w:rPr>
      </w:pPr>
      <w:r>
        <w:rPr>
          <w:b/>
          <w:bCs/>
        </w:rPr>
        <w:t>Переход права собственности на имущество</w:t>
      </w:r>
      <w:r>
        <w:rPr>
          <w:b/>
        </w:rPr>
        <w:t xml:space="preserve"> </w:t>
      </w:r>
    </w:p>
    <w:p>
      <w:pPr>
        <w:pStyle w:val="Style20"/>
        <w:spacing w:lineRule="auto" w:line="276"/>
        <w:jc w:val="center"/>
        <w:rPr>
          <w:b/>
          <w:b/>
          <w:sz w:val="8"/>
        </w:rPr>
      </w:pPr>
      <w:r>
        <w:rPr>
          <w:b/>
          <w:sz w:val="8"/>
        </w:rPr>
      </w:r>
    </w:p>
    <w:p>
      <w:pPr>
        <w:pStyle w:val="Normal"/>
        <w:spacing w:lineRule="auto" w:line="240"/>
        <w:ind w:left="-1134" w:right="-1192" w:firstLine="1134"/>
        <w:jc w:val="both"/>
        <w:rPr>
          <w:rStyle w:val="12"/>
          <w:spacing w:val="-2"/>
          <w:sz w:val="24"/>
        </w:rPr>
      </w:pPr>
      <w:r>
        <w:rPr>
          <w:sz w:val="24"/>
        </w:rPr>
        <w:t xml:space="preserve">          </w:t>
      </w:r>
      <w:r>
        <w:rPr>
          <w:rStyle w:val="12"/>
          <w:spacing w:val="-2"/>
          <w:sz w:val="24"/>
        </w:rPr>
        <w:t xml:space="preserve">Продавец осуществляет передачу имущества Покупателю после перечисления Покупателем </w:t>
      </w:r>
    </w:p>
    <w:p>
      <w:pPr>
        <w:pStyle w:val="Normal"/>
        <w:spacing w:lineRule="auto" w:line="240"/>
        <w:ind w:left="-1134" w:right="-1192" w:firstLine="1134"/>
        <w:jc w:val="both"/>
        <w:rPr>
          <w:rStyle w:val="25"/>
          <w:spacing w:val="2"/>
          <w:sz w:val="24"/>
          <w:szCs w:val="24"/>
        </w:rPr>
      </w:pPr>
      <w:r>
        <w:rPr>
          <w:rStyle w:val="12"/>
          <w:spacing w:val="2"/>
          <w:sz w:val="24"/>
        </w:rPr>
        <w:t xml:space="preserve">в </w:t>
      </w:r>
      <w:r>
        <w:rPr>
          <w:rStyle w:val="25"/>
          <w:spacing w:val="2"/>
          <w:sz w:val="24"/>
          <w:szCs w:val="24"/>
        </w:rPr>
        <w:t xml:space="preserve">полном объеме денежных средств, в соответствии с  п.4.1 договора и условиями  поставки, </w:t>
      </w:r>
    </w:p>
    <w:p>
      <w:pPr>
        <w:pStyle w:val="Normal"/>
        <w:spacing w:lineRule="auto" w:line="240"/>
        <w:ind w:left="-1134" w:right="-1192" w:firstLine="1134"/>
        <w:jc w:val="both"/>
        <w:rPr>
          <w:rStyle w:val="25"/>
          <w:sz w:val="24"/>
          <w:szCs w:val="24"/>
        </w:rPr>
      </w:pPr>
      <w:r>
        <w:rPr>
          <w:rStyle w:val="25"/>
          <w:sz w:val="24"/>
          <w:szCs w:val="24"/>
        </w:rPr>
        <w:t xml:space="preserve">указанными в разделе 2 договора (Приложение 2). </w:t>
      </w:r>
    </w:p>
    <w:p>
      <w:pPr>
        <w:pStyle w:val="211"/>
        <w:tabs>
          <w:tab w:val="clear" w:pos="708"/>
          <w:tab w:val="left" w:pos="1069" w:leader="none"/>
          <w:tab w:val="left" w:pos="1353" w:leader="none"/>
          <w:tab w:val="left" w:pos="1636" w:leader="none"/>
        </w:tabs>
        <w:spacing w:lineRule="auto" w:line="240"/>
        <w:ind w:firstLine="708"/>
        <w:jc w:val="both"/>
        <w:rPr/>
      </w:pPr>
      <w:r>
        <w:rPr>
          <w:rStyle w:val="25"/>
          <w:sz w:val="24"/>
          <w:szCs w:val="24"/>
          <w:shd w:fill="auto" w:val="clear"/>
        </w:rPr>
        <w:t xml:space="preserve">Покупатель в течение 10 (десяти) рабочих дней с даты заключения договора должен предоставить </w:t>
      </w:r>
      <w:r>
        <w:rPr>
          <w:rStyle w:val="12"/>
          <w:spacing w:val="-8"/>
          <w:sz w:val="24"/>
          <w:szCs w:val="24"/>
        </w:rPr>
        <w:t>заверенную копию, действующую на момент передачи имущества, лицензии на осуществление заготовки, хранения, переработки и реализации лома черных металлов, цветных металлов</w:t>
      </w:r>
      <w:r>
        <w:rPr>
          <w:rStyle w:val="25"/>
          <w:spacing w:val="-8"/>
          <w:sz w:val="24"/>
          <w:szCs w:val="24"/>
          <w:shd w:fill="auto" w:val="clear"/>
        </w:rPr>
        <w:t>.</w:t>
      </w:r>
    </w:p>
    <w:p>
      <w:pPr>
        <w:pStyle w:val="211"/>
        <w:tabs>
          <w:tab w:val="clear" w:pos="708"/>
          <w:tab w:val="left" w:pos="1069" w:leader="none"/>
          <w:tab w:val="left" w:pos="1353" w:leader="none"/>
          <w:tab w:val="left" w:pos="1636" w:leader="none"/>
        </w:tabs>
        <w:spacing w:lineRule="auto" w:line="240"/>
        <w:ind w:hanging="0"/>
        <w:jc w:val="both"/>
        <w:rPr>
          <w:rStyle w:val="25"/>
          <w:sz w:val="24"/>
          <w:szCs w:val="24"/>
        </w:rPr>
      </w:pPr>
      <w:r>
        <w:rPr>
          <w:rStyle w:val="25"/>
          <w:sz w:val="24"/>
          <w:szCs w:val="24"/>
        </w:rPr>
        <w:t xml:space="preserve">           </w:t>
      </w:r>
      <w:r>
        <w:rPr>
          <w:rStyle w:val="25"/>
          <w:sz w:val="24"/>
          <w:szCs w:val="24"/>
        </w:rPr>
        <w:t>Покупатель обязан произвести вывоз имущества со склада Продавца не позднее, чем через</w:t>
      </w:r>
      <w:r>
        <w:rPr>
          <w:rStyle w:val="25"/>
          <w:b/>
          <w:sz w:val="24"/>
          <w:szCs w:val="24"/>
        </w:rPr>
        <w:t xml:space="preserve"> </w:t>
      </w:r>
      <w:r>
        <w:rPr>
          <w:rStyle w:val="25"/>
          <w:sz w:val="24"/>
          <w:szCs w:val="24"/>
        </w:rPr>
        <w:t>15 рабочих дней после оплаты имущества.</w:t>
      </w:r>
    </w:p>
    <w:p>
      <w:pPr>
        <w:pStyle w:val="211"/>
        <w:tabs>
          <w:tab w:val="clear" w:pos="708"/>
          <w:tab w:val="left" w:pos="1069" w:leader="none"/>
          <w:tab w:val="left" w:pos="1353" w:leader="none"/>
          <w:tab w:val="left" w:pos="1636" w:leader="none"/>
        </w:tabs>
        <w:spacing w:lineRule="auto" w:line="240"/>
        <w:ind w:hanging="0"/>
        <w:jc w:val="both"/>
        <w:rPr>
          <w:rStyle w:val="25"/>
          <w:sz w:val="16"/>
          <w:szCs w:val="16"/>
        </w:rPr>
      </w:pPr>
      <w:r>
        <w:rPr>
          <w:sz w:val="16"/>
          <w:szCs w:val="16"/>
        </w:rPr>
      </w:r>
    </w:p>
    <w:p>
      <w:pPr>
        <w:pStyle w:val="211"/>
        <w:numPr>
          <w:ilvl w:val="0"/>
          <w:numId w:val="10"/>
        </w:numPr>
        <w:tabs>
          <w:tab w:val="clear" w:pos="708"/>
          <w:tab w:val="left" w:pos="540" w:leader="none"/>
          <w:tab w:val="left" w:pos="1353" w:leader="none"/>
          <w:tab w:val="left" w:pos="1636" w:leader="none"/>
          <w:tab w:val="left" w:pos="3240" w:leader="none"/>
        </w:tabs>
        <w:spacing w:lineRule="auto" w:line="240"/>
        <w:jc w:val="center"/>
        <w:rPr>
          <w:sz w:val="24"/>
          <w:szCs w:val="24"/>
        </w:rPr>
      </w:pPr>
      <w:r>
        <w:rPr>
          <w:b/>
          <w:sz w:val="24"/>
          <w:szCs w:val="24"/>
          <w:lang w:eastAsia="en-US"/>
        </w:rPr>
        <w:t>Заключительные положения</w:t>
      </w:r>
    </w:p>
    <w:p>
      <w:pPr>
        <w:pStyle w:val="211"/>
        <w:tabs>
          <w:tab w:val="clear" w:pos="708"/>
          <w:tab w:val="left" w:pos="540" w:leader="none"/>
          <w:tab w:val="left" w:pos="1353" w:leader="none"/>
          <w:tab w:val="left" w:pos="1636" w:leader="none"/>
          <w:tab w:val="left" w:pos="3240" w:leader="none"/>
        </w:tabs>
        <w:spacing w:lineRule="auto" w:line="240"/>
        <w:ind w:hanging="0"/>
        <w:rPr>
          <w:sz w:val="8"/>
          <w:szCs w:val="24"/>
        </w:rPr>
      </w:pPr>
      <w:r>
        <w:rPr>
          <w:sz w:val="8"/>
          <w:szCs w:val="24"/>
        </w:rPr>
      </w:r>
    </w:p>
    <w:p>
      <w:pPr>
        <w:pStyle w:val="211"/>
        <w:tabs>
          <w:tab w:val="clear" w:pos="708"/>
          <w:tab w:val="left" w:pos="1069" w:leader="none"/>
          <w:tab w:val="left" w:pos="1353" w:leader="none"/>
          <w:tab w:val="left" w:pos="1636" w:leader="none"/>
        </w:tabs>
        <w:spacing w:lineRule="auto" w:line="240"/>
        <w:ind w:hanging="0"/>
        <w:jc w:val="both"/>
        <w:rPr/>
      </w:pPr>
      <w:r>
        <w:rPr>
          <w:sz w:val="24"/>
          <w:szCs w:val="24"/>
        </w:rPr>
        <w:t xml:space="preserve">       </w:t>
      </w:r>
      <w:r>
        <w:rPr>
          <w:sz w:val="24"/>
          <w:szCs w:val="24"/>
        </w:rPr>
        <w:t xml:space="preserve">Все вопросы, касающиеся проведения аукциона, не нашедшие отражения в информационном сообщении, регулируются законодательством Российской Федерации. Подробную информацию о порядке подачи заявок, о порядке внесения задатка, об исчерпывающем перечне представляемых покупателями документов, ограничениях для отдельных категорий физических и юридических лиц, а также с условиями и правилами проведения продажи можно ознакомиться на сайте Организатора торгов </w:t>
      </w:r>
      <w:hyperlink r:id="rId10">
        <w:r>
          <w:rPr>
            <w:rStyle w:val="ListLabel142"/>
          </w:rPr>
          <w:t>www.startatom.ru</w:t>
        </w:r>
      </w:hyperlink>
      <w:r>
        <w:rPr>
          <w:sz w:val="24"/>
          <w:szCs w:val="24"/>
        </w:rPr>
        <w:t xml:space="preserve"> и на сайте </w:t>
      </w:r>
      <w:hyperlink r:id="rId11">
        <w:r>
          <w:rPr>
            <w:rStyle w:val="ListLabel142"/>
          </w:rPr>
          <w:t>www.torgi.gov.ru</w:t>
        </w:r>
      </w:hyperlink>
      <w:r>
        <w:rPr>
          <w:sz w:val="24"/>
          <w:szCs w:val="24"/>
        </w:rPr>
        <w:t>.</w:t>
      </w:r>
    </w:p>
    <w:p>
      <w:pPr>
        <w:pStyle w:val="211"/>
        <w:tabs>
          <w:tab w:val="clear" w:pos="708"/>
          <w:tab w:val="left" w:pos="2026" w:leader="none"/>
        </w:tabs>
        <w:spacing w:lineRule="auto" w:line="240"/>
        <w:ind w:hanging="0"/>
        <w:jc w:val="both"/>
        <w:rPr>
          <w:rStyle w:val="25"/>
          <w:sz w:val="4"/>
          <w:szCs w:val="16"/>
        </w:rPr>
      </w:pPr>
      <w:r>
        <w:rPr>
          <w:sz w:val="4"/>
          <w:szCs w:val="16"/>
        </w:rPr>
      </w:r>
    </w:p>
    <w:p>
      <w:pPr>
        <w:pStyle w:val="Normal"/>
        <w:spacing w:lineRule="auto" w:line="240"/>
        <w:ind w:left="-142" w:firstLine="709"/>
        <w:jc w:val="both"/>
        <w:rPr>
          <w:sz w:val="24"/>
          <w:szCs w:val="24"/>
          <w:lang w:eastAsia="en-US"/>
        </w:rPr>
      </w:pPr>
      <w:r>
        <w:rPr>
          <w:sz w:val="24"/>
          <w:szCs w:val="24"/>
          <w:lang w:eastAsia="en-US"/>
        </w:rPr>
        <w:t>Приложения:</w:t>
      </w:r>
    </w:p>
    <w:p>
      <w:pPr>
        <w:pStyle w:val="ListParagraph"/>
        <w:numPr>
          <w:ilvl w:val="0"/>
          <w:numId w:val="1"/>
        </w:numPr>
        <w:spacing w:lineRule="auto" w:line="240"/>
        <w:jc w:val="both"/>
        <w:rPr>
          <w:sz w:val="24"/>
          <w:szCs w:val="24"/>
        </w:rPr>
      </w:pPr>
      <w:r>
        <w:rPr>
          <w:sz w:val="24"/>
          <w:szCs w:val="24"/>
        </w:rPr>
        <w:t xml:space="preserve">Заявка на участие в аукционе Приложение 1 (Форма 1) - 1 л. </w:t>
      </w:r>
    </w:p>
    <w:p>
      <w:pPr>
        <w:pStyle w:val="ListParagraph"/>
        <w:numPr>
          <w:ilvl w:val="0"/>
          <w:numId w:val="1"/>
        </w:numPr>
        <w:spacing w:lineRule="auto" w:line="240"/>
        <w:jc w:val="both"/>
        <w:rPr/>
      </w:pPr>
      <w:r>
        <w:rPr>
          <w:sz w:val="24"/>
          <w:szCs w:val="24"/>
        </w:rPr>
        <w:t>Договор купли – продажи имущества Приложение 2 - 10 л.</w:t>
      </w:r>
    </w:p>
    <w:p>
      <w:pPr>
        <w:pStyle w:val="Normal"/>
        <w:spacing w:lineRule="auto" w:line="240"/>
        <w:jc w:val="both"/>
        <w:rPr>
          <w:sz w:val="24"/>
          <w:szCs w:val="24"/>
          <w:lang w:eastAsia="en-US"/>
        </w:rPr>
      </w:pPr>
      <w:r>
        <w:rPr>
          <w:sz w:val="24"/>
          <w:szCs w:val="24"/>
          <w:lang w:eastAsia="en-US"/>
        </w:rPr>
        <w:t>Согласовано:</w:t>
      </w:r>
    </w:p>
    <w:p>
      <w:pPr>
        <w:pStyle w:val="Normal"/>
        <w:shd w:val="clear" w:color="auto" w:fill="FFFFFF"/>
        <w:rPr>
          <w:sz w:val="24"/>
          <w:szCs w:val="24"/>
        </w:rPr>
      </w:pPr>
      <w:r>
        <w:rPr>
          <w:sz w:val="24"/>
          <w:szCs w:val="24"/>
        </w:rPr>
        <w:t xml:space="preserve">Начальник отдела хозяйственного обслуживания </w:t>
      </w:r>
    </w:p>
    <w:p>
      <w:pPr>
        <w:pStyle w:val="Normal"/>
        <w:shd w:val="clear" w:color="auto" w:fill="FFFFFF"/>
        <w:rPr>
          <w:sz w:val="24"/>
          <w:szCs w:val="24"/>
        </w:rPr>
      </w:pPr>
      <w:r>
        <w:rPr>
          <w:sz w:val="24"/>
          <w:szCs w:val="24"/>
        </w:rPr>
        <w:t xml:space="preserve">предприятия, утилизации отходов </w:t>
      </w:r>
      <w:r>
        <w:rPr>
          <w:sz w:val="24"/>
          <w:szCs w:val="24"/>
          <w:lang w:eastAsia="en-US"/>
        </w:rPr>
        <w:t xml:space="preserve">и складского хозяйства                                                                                                    </w:t>
      </w:r>
    </w:p>
    <w:p>
      <w:pPr>
        <w:pStyle w:val="Normal"/>
        <w:shd w:val="clear" w:color="auto" w:fill="FFFFFF"/>
        <w:rPr>
          <w:sz w:val="24"/>
          <w:szCs w:val="24"/>
        </w:rPr>
      </w:pPr>
      <w:r>
        <w:rPr>
          <w:sz w:val="24"/>
          <w:szCs w:val="24"/>
          <w:lang w:eastAsia="en-US"/>
        </w:rPr>
        <w:t>________________И.А. Зорин</w:t>
      </w:r>
    </w:p>
    <w:p>
      <w:pPr>
        <w:pStyle w:val="Normal"/>
        <w:spacing w:lineRule="auto" w:line="240"/>
        <w:ind w:left="6521" w:hanging="567"/>
        <w:rPr>
          <w:bCs/>
          <w:color w:val="FF0000"/>
          <w:sz w:val="24"/>
          <w:szCs w:val="24"/>
          <w:lang w:eastAsia="en-US"/>
        </w:rPr>
      </w:pPr>
      <w:r>
        <w:rPr>
          <w:bCs/>
          <w:color w:val="FF0000"/>
          <w:sz w:val="24"/>
          <w:szCs w:val="24"/>
          <w:lang w:eastAsia="en-US"/>
        </w:rPr>
      </w:r>
    </w:p>
    <w:p>
      <w:pPr>
        <w:pStyle w:val="Normal"/>
        <w:spacing w:lineRule="auto" w:line="240"/>
        <w:rPr/>
      </w:pPr>
      <w:r>
        <w:rPr/>
      </w:r>
    </w:p>
    <w:sectPr>
      <w:headerReference w:type="default" r:id="rId12"/>
      <w:type w:val="nextPage"/>
      <w:pgSz w:w="11906" w:h="16838"/>
      <w:pgMar w:left="1361" w:right="510" w:header="454" w:top="1021" w:footer="0" w:bottom="1021"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Bookman Old Style">
    <w:charset w:val="cc"/>
    <w:family w:val="roman"/>
    <w:pitch w:val="variable"/>
  </w:font>
  <w:font w:name="Courier New">
    <w:charset w:val="cc"/>
    <w:family w:val="roman"/>
    <w:pitch w:val="variable"/>
  </w:font>
  <w:font w:name="Times New Roman">
    <w:altName w:val="serif"/>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mc:AlternateContent>
        <mc:Choice Requires="wps">
          <w:drawing>
            <wp:anchor behindDoc="1" distT="0" distB="0" distL="0" distR="0" simplePos="0" locked="0" layoutInCell="1" allowOverlap="1" relativeHeight="11">
              <wp:simplePos x="0" y="0"/>
              <wp:positionH relativeFrom="margin">
                <wp:align>center</wp:align>
              </wp:positionH>
              <wp:positionV relativeFrom="paragraph">
                <wp:posOffset>635</wp:posOffset>
              </wp:positionV>
              <wp:extent cx="818515" cy="130810"/>
              <wp:effectExtent l="0" t="0" r="0" b="0"/>
              <wp:wrapSquare wrapText="largest"/>
              <wp:docPr id="1" name="Врезка1"/>
              <a:graphic xmlns:a="http://schemas.openxmlformats.org/drawingml/2006/main">
                <a:graphicData uri="http://schemas.microsoft.com/office/word/2010/wordprocessingShape">
                  <wps:wsp>
                    <wps:cNvSpPr/>
                    <wps:spPr>
                      <a:xfrm>
                        <a:off x="0" y="0"/>
                        <a:ext cx="817920" cy="130320"/>
                      </a:xfrm>
                      <a:prstGeom prst="rect">
                        <a:avLst/>
                      </a:prstGeom>
                      <a:noFill/>
                      <a:ln>
                        <a:noFill/>
                      </a:ln>
                    </wps:spPr>
                    <wps:style>
                      <a:lnRef idx="0"/>
                      <a:fillRef idx="0"/>
                      <a:effectRef idx="0"/>
                      <a:fontRef idx="minor"/>
                    </wps:style>
                    <wps:txbx>
                      <w:txbxContent>
                        <w:p>
                          <w:pPr>
                            <w:pStyle w:val="Style25"/>
                            <w:rPr/>
                          </w:pPr>
                          <w:r>
                            <w:rPr>
                              <w:rStyle w:val="Pagenumber"/>
                              <w:sz w:val="18"/>
                            </w:rPr>
                            <w:fldChar w:fldCharType="begin"/>
                          </w:r>
                          <w:r>
                            <w:rPr>
                              <w:rStyle w:val="Pagenumber"/>
                              <w:sz w:val="18"/>
                            </w:rPr>
                            <w:instrText> PAGE </w:instrText>
                          </w:r>
                          <w:r>
                            <w:rPr>
                              <w:rStyle w:val="Pagenumber"/>
                              <w:sz w:val="18"/>
                            </w:rPr>
                            <w:fldChar w:fldCharType="separate"/>
                          </w:r>
                          <w:r>
                            <w:rPr>
                              <w:rStyle w:val="Pagenumber"/>
                              <w:sz w:val="18"/>
                            </w:rPr>
                            <w:t>11</w:t>
                          </w:r>
                          <w:r>
                            <w:rPr>
                              <w:rStyle w:val="Pagenumber"/>
                              <w:sz w:val="18"/>
                            </w:rPr>
                            <w:fldChar w:fldCharType="end"/>
                          </w:r>
                        </w:p>
                      </w:txbxContent>
                    </wps:txbx>
                    <wps:bodyPr lIns="0" rIns="0" tIns="0" bIns="0">
                      <a:spAutoFit/>
                    </wps:bodyPr>
                  </wps:wsp>
                </a:graphicData>
              </a:graphic>
            </wp:anchor>
          </w:drawing>
        </mc:Choice>
        <mc:Fallback>
          <w:pict>
            <v:rect id="shape_0" ID="Врезка1" fillcolor="white" stroked="f" style="position:absolute;margin-left:218.65pt;margin-top:0.05pt;width:64.35pt;height:10.2pt;mso-position-horizontal:center;mso-position-horizontal-relative:margin">
              <w10:wrap type="square"/>
              <v:fill o:detectmouseclick="t" type="solid" color2="black" opacity="0"/>
              <v:stroke color="#3465a4" joinstyle="round" endcap="flat"/>
              <v:textbox>
                <w:txbxContent>
                  <w:p>
                    <w:pPr>
                      <w:pStyle w:val="Style25"/>
                      <w:rPr/>
                    </w:pPr>
                    <w:r>
                      <w:rPr>
                        <w:rStyle w:val="Pagenumber"/>
                        <w:sz w:val="18"/>
                      </w:rPr>
                      <w:fldChar w:fldCharType="begin"/>
                    </w:r>
                    <w:r>
                      <w:rPr>
                        <w:rStyle w:val="Pagenumber"/>
                        <w:sz w:val="18"/>
                      </w:rPr>
                      <w:instrText> PAGE </w:instrText>
                    </w:r>
                    <w:r>
                      <w:rPr>
                        <w:rStyle w:val="Pagenumber"/>
                        <w:sz w:val="18"/>
                      </w:rPr>
                      <w:fldChar w:fldCharType="separate"/>
                    </w:r>
                    <w:r>
                      <w:rPr>
                        <w:rStyle w:val="Pagenumber"/>
                        <w:sz w:val="18"/>
                      </w:rPr>
                      <w:t>11</w:t>
                    </w:r>
                    <w:r>
                      <w:rPr>
                        <w:rStyle w:val="Pagenumber"/>
                        <w:sz w:val="18"/>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rPr>
        <w:sz w:val="24"/>
        <w:szCs w:val="24"/>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
    <w:lvl w:ilvl="0">
      <w:start w:val="1"/>
      <w:numFmt w:val="decimal"/>
      <w:lvlText w:val="%1."/>
      <w:lvlJc w:val="left"/>
      <w:pPr>
        <w:ind w:left="1069" w:hanging="360"/>
      </w:pPr>
      <w:rPr>
        <w:sz w:val="24"/>
        <w:b/>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decimal"/>
      <w:lvlText w:val="%1."/>
      <w:lvlJc w:val="left"/>
      <w:pPr>
        <w:ind w:left="1069" w:hanging="360"/>
      </w:pPr>
      <w:rPr>
        <w:sz w:val="24"/>
        <w:b/>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lvl w:ilvl="0">
      <w:start w:val="1"/>
      <w:numFmt w:val="bullet"/>
      <w:lvlText w:val=""/>
      <w:lvlJc w:val="left"/>
      <w:pPr>
        <w:ind w:left="1429" w:hanging="360"/>
      </w:pPr>
      <w:rPr>
        <w:rFonts w:ascii="Symbol" w:hAnsi="Symbol" w:cs="Symbol" w:hint="default"/>
        <w:sz w:val="24"/>
        <w:rFonts w:cs="Symbol"/>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lvl w:ilvl="0">
      <w:start w:val="5"/>
      <w:numFmt w:val="decimal"/>
      <w:lvlText w:val="%1."/>
      <w:lvlJc w:val="left"/>
      <w:pPr>
        <w:tabs>
          <w:tab w:val="num" w:pos="1069"/>
        </w:tabs>
        <w:ind w:left="1069" w:hanging="360"/>
      </w:pPr>
      <w:rPr>
        <w:sz w:val="24"/>
        <w:b/>
        <w:rFonts w:cs="Times New Roman"/>
      </w:rPr>
    </w:lvl>
    <w:lvl w:ilvl="1">
      <w:start w:val="1"/>
      <w:numFmt w:val="decimal"/>
      <w:lvlText w:val="%1.%2"/>
      <w:lvlJc w:val="left"/>
      <w:pPr>
        <w:tabs>
          <w:tab w:val="num" w:pos="1129"/>
        </w:tabs>
        <w:ind w:left="1129" w:hanging="420"/>
      </w:pPr>
      <w:rPr>
        <w:b/>
        <w:rFonts w:cs="Times New Roman"/>
      </w:rPr>
    </w:lvl>
    <w:lvl w:ilvl="2">
      <w:start w:val="1"/>
      <w:numFmt w:val="decimal"/>
      <w:lvlText w:val="%1.%2.%3"/>
      <w:lvlJc w:val="left"/>
      <w:pPr>
        <w:tabs>
          <w:tab w:val="num" w:pos="1429"/>
        </w:tabs>
        <w:ind w:left="1429" w:hanging="720"/>
      </w:pPr>
      <w:rPr>
        <w:rFonts w:cs="Times New Roman"/>
      </w:rPr>
    </w:lvl>
    <w:lvl w:ilvl="3">
      <w:start w:val="1"/>
      <w:numFmt w:val="decimal"/>
      <w:lvlText w:val="%1.%2.%3.%4"/>
      <w:lvlJc w:val="left"/>
      <w:pPr>
        <w:tabs>
          <w:tab w:val="num" w:pos="1429"/>
        </w:tabs>
        <w:ind w:left="1429" w:hanging="720"/>
      </w:pPr>
      <w:rPr>
        <w:rFonts w:cs="Times New Roman"/>
      </w:rPr>
    </w:lvl>
    <w:lvl w:ilvl="4">
      <w:start w:val="1"/>
      <w:numFmt w:val="decimal"/>
      <w:lvlText w:val="%1.%2.%3.%4.%5"/>
      <w:lvlJc w:val="left"/>
      <w:pPr>
        <w:tabs>
          <w:tab w:val="num" w:pos="1789"/>
        </w:tabs>
        <w:ind w:left="1789" w:hanging="1080"/>
      </w:pPr>
      <w:rPr>
        <w:rFonts w:cs="Times New Roman"/>
      </w:rPr>
    </w:lvl>
    <w:lvl w:ilvl="5">
      <w:start w:val="1"/>
      <w:numFmt w:val="decimal"/>
      <w:lvlText w:val="%1.%2.%3.%4.%5.%6"/>
      <w:lvlJc w:val="left"/>
      <w:pPr>
        <w:tabs>
          <w:tab w:val="num" w:pos="1789"/>
        </w:tabs>
        <w:ind w:left="1789" w:hanging="1080"/>
      </w:pPr>
      <w:rPr>
        <w:rFonts w:cs="Times New Roman"/>
      </w:rPr>
    </w:lvl>
    <w:lvl w:ilvl="6">
      <w:start w:val="1"/>
      <w:numFmt w:val="decimal"/>
      <w:lvlText w:val="%1.%2.%3.%4.%5.%6.%7"/>
      <w:lvlJc w:val="left"/>
      <w:pPr>
        <w:tabs>
          <w:tab w:val="num" w:pos="2149"/>
        </w:tabs>
        <w:ind w:left="2149" w:hanging="1440"/>
      </w:pPr>
      <w:rPr>
        <w:rFonts w:cs="Times New Roman"/>
      </w:rPr>
    </w:lvl>
    <w:lvl w:ilvl="7">
      <w:start w:val="1"/>
      <w:numFmt w:val="decimal"/>
      <w:lvlText w:val="%1.%2.%3.%4.%5.%6.%7.%8"/>
      <w:lvlJc w:val="left"/>
      <w:pPr>
        <w:tabs>
          <w:tab w:val="num" w:pos="2149"/>
        </w:tabs>
        <w:ind w:left="2149" w:hanging="1440"/>
      </w:pPr>
      <w:rPr>
        <w:rFonts w:cs="Times New Roman"/>
      </w:rPr>
    </w:lvl>
    <w:lvl w:ilvl="8">
      <w:start w:val="1"/>
      <w:numFmt w:val="decimal"/>
      <w:lvlText w:val="%1.%2.%3.%4.%5.%6.%7.%8.%9"/>
      <w:lvlJc w:val="left"/>
      <w:pPr>
        <w:tabs>
          <w:tab w:val="num" w:pos="2509"/>
        </w:tabs>
        <w:ind w:left="2509" w:hanging="1800"/>
      </w:pPr>
      <w:rPr>
        <w:rFonts w:cs="Times New Roman"/>
      </w:rPr>
    </w:lvl>
  </w:abstractNum>
  <w:abstractNum w:abstractNumId="6">
    <w:lvl w:ilvl="0">
      <w:start w:val="1"/>
      <w:numFmt w:val="bullet"/>
      <w:lvlText w:val=""/>
      <w:lvlJc w:val="left"/>
      <w:pPr>
        <w:ind w:left="1429" w:hanging="360"/>
      </w:pPr>
      <w:rPr>
        <w:rFonts w:ascii="Symbol" w:hAnsi="Symbol" w:cs="Symbol" w:hint="default"/>
        <w:sz w:val="24"/>
        <w:b/>
        <w:rFonts w:cs="Symbol"/>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decimal"/>
      <w:lvlText w:val="%1)"/>
      <w:lvlJc w:val="left"/>
      <w:pPr>
        <w:ind w:left="1070" w:hanging="360"/>
      </w:pPr>
      <w:rPr>
        <w:sz w:val="24"/>
        <w:b/>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sz w:val="24"/>
        <w:b/>
        <w:bCs w:val="false"/>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9">
    <w:lvl w:ilvl="0">
      <w:start w:val="9"/>
      <w:numFmt w:val="decimal"/>
      <w:lvlText w:val="%1."/>
      <w:lvlJc w:val="left"/>
      <w:pPr>
        <w:tabs>
          <w:tab w:val="num" w:pos="1069"/>
        </w:tabs>
        <w:ind w:left="1069" w:hanging="360"/>
      </w:pPr>
      <w:rPr>
        <w:sz w:val="24"/>
        <w:b/>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0">
    <w:lvl w:ilvl="0">
      <w:start w:val="13"/>
      <w:numFmt w:val="decimal"/>
      <w:lvlText w:val="%1."/>
      <w:lvlJc w:val="left"/>
      <w:pPr>
        <w:ind w:left="480" w:hanging="480"/>
      </w:pPr>
      <w:rPr>
        <w:sz w:val="24"/>
        <w:b/>
        <w:rFonts w:cs="Times New Roman"/>
      </w:rPr>
    </w:lvl>
    <w:lvl w:ilvl="1">
      <w:start w:val="1"/>
      <w:numFmt w:val="decimal"/>
      <w:lvlText w:val="%1.%2."/>
      <w:lvlJc w:val="left"/>
      <w:pPr>
        <w:ind w:left="1190" w:hanging="480"/>
      </w:pPr>
      <w:rPr>
        <w:sz w:val="24"/>
        <w:rFonts w:cs="Times New Roman"/>
      </w:rPr>
    </w:lvl>
    <w:lvl w:ilvl="2">
      <w:start w:val="1"/>
      <w:numFmt w:val="decimal"/>
      <w:lvlText w:val="%1.%2.%3."/>
      <w:lvlJc w:val="left"/>
      <w:pPr>
        <w:ind w:left="2140" w:hanging="720"/>
      </w:pPr>
      <w:rPr>
        <w:sz w:val="24"/>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0d46"/>
    <w:pPr>
      <w:widowControl w:val="false"/>
      <w:bidi w:val="0"/>
      <w:spacing w:lineRule="auto" w:line="300"/>
      <w:ind w:firstLine="560"/>
      <w:jc w:val="left"/>
    </w:pPr>
    <w:rPr>
      <w:rFonts w:ascii="Times New Roman" w:hAnsi="Times New Roman" w:eastAsia="Times New Roman" w:cs="Times New Roman"/>
      <w:color w:val="auto"/>
      <w:kern w:val="0"/>
      <w:sz w:val="22"/>
      <w:szCs w:val="20"/>
      <w:lang w:val="ru-RU" w:eastAsia="ru-RU" w:bidi="ar-SA"/>
    </w:rPr>
  </w:style>
  <w:style w:type="paragraph" w:styleId="1">
    <w:name w:val="Heading 1"/>
    <w:basedOn w:val="Normal"/>
    <w:next w:val="Normal"/>
    <w:link w:val="10"/>
    <w:uiPriority w:val="99"/>
    <w:qFormat/>
    <w:rsid w:val="002c5955"/>
    <w:pPr>
      <w:keepNext w:val="true"/>
      <w:keepLines/>
      <w:widowControl/>
      <w:spacing w:lineRule="auto" w:line="276" w:before="480" w:after="0"/>
      <w:ind w:hanging="0"/>
      <w:outlineLvl w:val="0"/>
    </w:pPr>
    <w:rPr>
      <w:rFonts w:ascii="Cambria" w:hAnsi="Cambria"/>
      <w:b/>
      <w:bCs/>
      <w:color w:val="365F91"/>
      <w:sz w:val="28"/>
      <w:szCs w:val="28"/>
      <w:lang w:val="en-US" w:eastAsia="en-US"/>
    </w:rPr>
  </w:style>
  <w:style w:type="paragraph" w:styleId="2">
    <w:name w:val="Heading 2"/>
    <w:basedOn w:val="Normal"/>
    <w:next w:val="Normal"/>
    <w:link w:val="20"/>
    <w:uiPriority w:val="99"/>
    <w:qFormat/>
    <w:rsid w:val="0094249c"/>
    <w:pPr>
      <w:keepNext w:val="true"/>
      <w:widowControl/>
      <w:spacing w:lineRule="auto" w:line="240"/>
      <w:ind w:hanging="0"/>
      <w:jc w:val="center"/>
      <w:outlineLvl w:val="1"/>
    </w:pPr>
    <w:rPr>
      <w:rFonts w:ascii="Cambria" w:hAnsi="Cambria"/>
      <w:b/>
      <w:bCs/>
      <w:i/>
      <w:iCs/>
      <w:sz w:val="28"/>
      <w:szCs w:val="28"/>
    </w:rPr>
  </w:style>
  <w:style w:type="paragraph" w:styleId="3">
    <w:name w:val="Heading 3"/>
    <w:basedOn w:val="Normal"/>
    <w:next w:val="Normal"/>
    <w:link w:val="30"/>
    <w:uiPriority w:val="99"/>
    <w:qFormat/>
    <w:rsid w:val="002c5955"/>
    <w:pPr>
      <w:keepNext w:val="true"/>
      <w:keepLines/>
      <w:widowControl/>
      <w:spacing w:lineRule="auto" w:line="276" w:before="200" w:after="0"/>
      <w:ind w:hanging="0"/>
      <w:outlineLvl w:val="2"/>
    </w:pPr>
    <w:rPr>
      <w:rFonts w:ascii="Cambria" w:hAnsi="Cambria"/>
      <w:b/>
      <w:bCs/>
      <w:color w:val="4F81BD"/>
      <w:szCs w:val="22"/>
      <w:lang w:val="en-US" w:eastAsia="en-US"/>
    </w:rPr>
  </w:style>
  <w:style w:type="paragraph" w:styleId="4">
    <w:name w:val="Heading 4"/>
    <w:basedOn w:val="Normal"/>
    <w:next w:val="Normal"/>
    <w:link w:val="40"/>
    <w:uiPriority w:val="99"/>
    <w:qFormat/>
    <w:rsid w:val="002c5955"/>
    <w:pPr>
      <w:keepNext w:val="true"/>
      <w:keepLines/>
      <w:widowControl/>
      <w:spacing w:lineRule="auto" w:line="276" w:before="200" w:after="0"/>
      <w:ind w:hanging="0"/>
      <w:outlineLvl w:val="3"/>
    </w:pPr>
    <w:rPr>
      <w:rFonts w:ascii="Cambria" w:hAnsi="Cambria"/>
      <w:b/>
      <w:bCs/>
      <w:i/>
      <w:iCs/>
      <w:color w:val="4F81BD"/>
      <w:szCs w:val="22"/>
      <w:lang w:val="en-US" w:eastAsia="en-US"/>
    </w:rPr>
  </w:style>
  <w:style w:type="paragraph" w:styleId="5">
    <w:name w:val="Heading 5"/>
    <w:basedOn w:val="Normal"/>
    <w:next w:val="Normal"/>
    <w:link w:val="50"/>
    <w:uiPriority w:val="99"/>
    <w:qFormat/>
    <w:rsid w:val="002c5955"/>
    <w:pPr>
      <w:keepNext w:val="true"/>
      <w:keepLines/>
      <w:widowControl/>
      <w:spacing w:lineRule="auto" w:line="276" w:before="200" w:after="0"/>
      <w:ind w:hanging="0"/>
      <w:outlineLvl w:val="4"/>
    </w:pPr>
    <w:rPr>
      <w:rFonts w:ascii="Cambria" w:hAnsi="Cambria"/>
      <w:color w:val="243F60"/>
      <w:szCs w:val="22"/>
      <w:lang w:val="en-US" w:eastAsia="en-US"/>
    </w:rPr>
  </w:style>
  <w:style w:type="paragraph" w:styleId="6">
    <w:name w:val="Heading 6"/>
    <w:basedOn w:val="Normal"/>
    <w:next w:val="Normal"/>
    <w:link w:val="60"/>
    <w:uiPriority w:val="99"/>
    <w:qFormat/>
    <w:rsid w:val="002c5955"/>
    <w:pPr>
      <w:keepNext w:val="true"/>
      <w:keepLines/>
      <w:widowControl/>
      <w:spacing w:lineRule="auto" w:line="276" w:before="200" w:after="0"/>
      <w:ind w:hanging="0"/>
      <w:outlineLvl w:val="5"/>
    </w:pPr>
    <w:rPr>
      <w:rFonts w:ascii="Cambria" w:hAnsi="Cambria"/>
      <w:i/>
      <w:iCs/>
      <w:color w:val="243F60"/>
      <w:szCs w:val="22"/>
      <w:lang w:val="en-US" w:eastAsia="en-US"/>
    </w:rPr>
  </w:style>
  <w:style w:type="paragraph" w:styleId="7">
    <w:name w:val="Heading 7"/>
    <w:basedOn w:val="Normal"/>
    <w:next w:val="Normal"/>
    <w:link w:val="70"/>
    <w:uiPriority w:val="99"/>
    <w:qFormat/>
    <w:rsid w:val="002c5955"/>
    <w:pPr>
      <w:keepNext w:val="true"/>
      <w:keepLines/>
      <w:widowControl/>
      <w:spacing w:lineRule="auto" w:line="276" w:before="200" w:after="0"/>
      <w:ind w:hanging="0"/>
      <w:outlineLvl w:val="6"/>
    </w:pPr>
    <w:rPr>
      <w:rFonts w:ascii="Cambria" w:hAnsi="Cambria"/>
      <w:i/>
      <w:iCs/>
      <w:color w:val="404040"/>
      <w:szCs w:val="22"/>
      <w:lang w:val="en-US" w:eastAsia="en-US"/>
    </w:rPr>
  </w:style>
  <w:style w:type="paragraph" w:styleId="8">
    <w:name w:val="Heading 8"/>
    <w:basedOn w:val="Normal"/>
    <w:next w:val="Normal"/>
    <w:link w:val="80"/>
    <w:uiPriority w:val="99"/>
    <w:qFormat/>
    <w:rsid w:val="002c5955"/>
    <w:pPr>
      <w:keepNext w:val="true"/>
      <w:keepLines/>
      <w:widowControl/>
      <w:spacing w:lineRule="auto" w:line="276" w:before="200" w:after="0"/>
      <w:ind w:hanging="0"/>
      <w:outlineLvl w:val="7"/>
    </w:pPr>
    <w:rPr>
      <w:rFonts w:ascii="Cambria" w:hAnsi="Cambria"/>
      <w:color w:val="4F81BD"/>
      <w:sz w:val="20"/>
      <w:lang w:val="en-US" w:eastAsia="en-US"/>
    </w:rPr>
  </w:style>
  <w:style w:type="paragraph" w:styleId="9">
    <w:name w:val="Heading 9"/>
    <w:basedOn w:val="Normal"/>
    <w:next w:val="Normal"/>
    <w:link w:val="90"/>
    <w:uiPriority w:val="99"/>
    <w:qFormat/>
    <w:rsid w:val="002c5955"/>
    <w:pPr>
      <w:keepNext w:val="true"/>
      <w:keepLines/>
      <w:widowControl/>
      <w:spacing w:lineRule="auto" w:line="276" w:before="200" w:after="0"/>
      <w:ind w:hanging="0"/>
      <w:outlineLvl w:val="8"/>
    </w:pPr>
    <w:rPr>
      <w:rFonts w:ascii="Cambria" w:hAnsi="Cambria"/>
      <w:i/>
      <w:iCs/>
      <w:color w:val="404040"/>
      <w:sz w:val="20"/>
      <w:lang w:val="en-US"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2c5955"/>
    <w:rPr>
      <w:rFonts w:ascii="Cambria" w:hAnsi="Cambria" w:cs="Times New Roman"/>
      <w:b/>
      <w:color w:val="365F91"/>
      <w:sz w:val="28"/>
      <w:lang w:val="en-US" w:eastAsia="en-US"/>
    </w:rPr>
  </w:style>
  <w:style w:type="character" w:styleId="21" w:customStyle="1">
    <w:name w:val="Заголовок 2 Знак"/>
    <w:basedOn w:val="DefaultParagraphFont"/>
    <w:link w:val="2"/>
    <w:uiPriority w:val="99"/>
    <w:semiHidden/>
    <w:qFormat/>
    <w:locked/>
    <w:rsid w:val="00f07420"/>
    <w:rPr>
      <w:rFonts w:ascii="Cambria" w:hAnsi="Cambria" w:cs="Times New Roman"/>
      <w:b/>
      <w:i/>
      <w:sz w:val="28"/>
    </w:rPr>
  </w:style>
  <w:style w:type="character" w:styleId="31" w:customStyle="1">
    <w:name w:val="Заголовок 3 Знак"/>
    <w:basedOn w:val="DefaultParagraphFont"/>
    <w:link w:val="3"/>
    <w:uiPriority w:val="99"/>
    <w:semiHidden/>
    <w:qFormat/>
    <w:locked/>
    <w:rsid w:val="002c5955"/>
    <w:rPr>
      <w:rFonts w:ascii="Cambria" w:hAnsi="Cambria" w:cs="Times New Roman"/>
      <w:b/>
      <w:color w:val="4F81BD"/>
      <w:sz w:val="22"/>
      <w:lang w:val="en-US" w:eastAsia="en-US"/>
    </w:rPr>
  </w:style>
  <w:style w:type="character" w:styleId="41" w:customStyle="1">
    <w:name w:val="Заголовок 4 Знак"/>
    <w:basedOn w:val="DefaultParagraphFont"/>
    <w:link w:val="4"/>
    <w:uiPriority w:val="99"/>
    <w:semiHidden/>
    <w:qFormat/>
    <w:locked/>
    <w:rsid w:val="002c5955"/>
    <w:rPr>
      <w:rFonts w:ascii="Cambria" w:hAnsi="Cambria" w:cs="Times New Roman"/>
      <w:b/>
      <w:i/>
      <w:color w:val="4F81BD"/>
      <w:sz w:val="22"/>
      <w:lang w:val="en-US" w:eastAsia="en-US"/>
    </w:rPr>
  </w:style>
  <w:style w:type="character" w:styleId="51" w:customStyle="1">
    <w:name w:val="Заголовок 5 Знак"/>
    <w:basedOn w:val="DefaultParagraphFont"/>
    <w:link w:val="5"/>
    <w:uiPriority w:val="99"/>
    <w:semiHidden/>
    <w:qFormat/>
    <w:locked/>
    <w:rsid w:val="002c5955"/>
    <w:rPr>
      <w:rFonts w:ascii="Cambria" w:hAnsi="Cambria" w:cs="Times New Roman"/>
      <w:color w:val="243F60"/>
      <w:sz w:val="22"/>
      <w:lang w:val="en-US" w:eastAsia="en-US"/>
    </w:rPr>
  </w:style>
  <w:style w:type="character" w:styleId="61" w:customStyle="1">
    <w:name w:val="Заголовок 6 Знак"/>
    <w:basedOn w:val="DefaultParagraphFont"/>
    <w:link w:val="6"/>
    <w:uiPriority w:val="99"/>
    <w:semiHidden/>
    <w:qFormat/>
    <w:locked/>
    <w:rsid w:val="002c5955"/>
    <w:rPr>
      <w:rFonts w:ascii="Cambria" w:hAnsi="Cambria" w:cs="Times New Roman"/>
      <w:i/>
      <w:color w:val="243F60"/>
      <w:sz w:val="22"/>
      <w:lang w:val="en-US" w:eastAsia="en-US"/>
    </w:rPr>
  </w:style>
  <w:style w:type="character" w:styleId="71" w:customStyle="1">
    <w:name w:val="Заголовок 7 Знак"/>
    <w:basedOn w:val="DefaultParagraphFont"/>
    <w:link w:val="7"/>
    <w:uiPriority w:val="99"/>
    <w:semiHidden/>
    <w:qFormat/>
    <w:locked/>
    <w:rsid w:val="002c5955"/>
    <w:rPr>
      <w:rFonts w:ascii="Cambria" w:hAnsi="Cambria" w:cs="Times New Roman"/>
      <w:i/>
      <w:color w:val="404040"/>
      <w:sz w:val="22"/>
      <w:lang w:val="en-US" w:eastAsia="en-US"/>
    </w:rPr>
  </w:style>
  <w:style w:type="character" w:styleId="81" w:customStyle="1">
    <w:name w:val="Заголовок 8 Знак"/>
    <w:basedOn w:val="DefaultParagraphFont"/>
    <w:link w:val="8"/>
    <w:uiPriority w:val="99"/>
    <w:semiHidden/>
    <w:qFormat/>
    <w:locked/>
    <w:rsid w:val="002c5955"/>
    <w:rPr>
      <w:rFonts w:ascii="Cambria" w:hAnsi="Cambria" w:cs="Times New Roman"/>
      <w:color w:val="4F81BD"/>
      <w:lang w:val="en-US" w:eastAsia="en-US"/>
    </w:rPr>
  </w:style>
  <w:style w:type="character" w:styleId="91" w:customStyle="1">
    <w:name w:val="Заголовок 9 Знак"/>
    <w:basedOn w:val="DefaultParagraphFont"/>
    <w:link w:val="9"/>
    <w:uiPriority w:val="99"/>
    <w:semiHidden/>
    <w:qFormat/>
    <w:locked/>
    <w:rsid w:val="002c5955"/>
    <w:rPr>
      <w:rFonts w:ascii="Cambria" w:hAnsi="Cambria" w:cs="Times New Roman"/>
      <w:i/>
      <w:color w:val="404040"/>
      <w:lang w:val="en-US" w:eastAsia="en-US"/>
    </w:rPr>
  </w:style>
  <w:style w:type="character" w:styleId="Style5" w:customStyle="1">
    <w:name w:val="Основной текст с отступом Знак"/>
    <w:basedOn w:val="DefaultParagraphFont"/>
    <w:link w:val="a4"/>
    <w:uiPriority w:val="99"/>
    <w:qFormat/>
    <w:locked/>
    <w:rsid w:val="00f07420"/>
    <w:rPr>
      <w:rFonts w:cs="Times New Roman"/>
      <w:sz w:val="24"/>
    </w:rPr>
  </w:style>
  <w:style w:type="character" w:styleId="Style6" w:customStyle="1">
    <w:name w:val="Основной текст Знак"/>
    <w:basedOn w:val="DefaultParagraphFont"/>
    <w:link w:val="a6"/>
    <w:uiPriority w:val="99"/>
    <w:qFormat/>
    <w:locked/>
    <w:rsid w:val="00f07420"/>
    <w:rPr>
      <w:rFonts w:cs="Times New Roman"/>
      <w:sz w:val="24"/>
    </w:rPr>
  </w:style>
  <w:style w:type="character" w:styleId="Style7" w:customStyle="1">
    <w:name w:val="Верхний колонтитул Знак"/>
    <w:basedOn w:val="DefaultParagraphFont"/>
    <w:link w:val="a8"/>
    <w:uiPriority w:val="99"/>
    <w:semiHidden/>
    <w:qFormat/>
    <w:locked/>
    <w:rsid w:val="00f07420"/>
    <w:rPr>
      <w:rFonts w:cs="Times New Roman"/>
      <w:sz w:val="24"/>
    </w:rPr>
  </w:style>
  <w:style w:type="character" w:styleId="Pagenumber">
    <w:name w:val="page number"/>
    <w:basedOn w:val="DefaultParagraphFont"/>
    <w:uiPriority w:val="99"/>
    <w:qFormat/>
    <w:rsid w:val="0094249c"/>
    <w:rPr>
      <w:rFonts w:cs="Times New Roman"/>
    </w:rPr>
  </w:style>
  <w:style w:type="character" w:styleId="22" w:customStyle="1">
    <w:name w:val="Основной текст 2 Знак"/>
    <w:basedOn w:val="DefaultParagraphFont"/>
    <w:link w:val="22"/>
    <w:uiPriority w:val="99"/>
    <w:qFormat/>
    <w:locked/>
    <w:rsid w:val="00f07420"/>
    <w:rPr>
      <w:rFonts w:cs="Times New Roman"/>
      <w:sz w:val="22"/>
    </w:rPr>
  </w:style>
  <w:style w:type="character" w:styleId="32" w:customStyle="1">
    <w:name w:val="Основной текст 3 Знак"/>
    <w:basedOn w:val="DefaultParagraphFont"/>
    <w:link w:val="32"/>
    <w:uiPriority w:val="99"/>
    <w:qFormat/>
    <w:locked/>
    <w:rsid w:val="00f07420"/>
    <w:rPr>
      <w:rFonts w:cs="Times New Roman"/>
      <w:sz w:val="16"/>
    </w:rPr>
  </w:style>
  <w:style w:type="character" w:styleId="Style8" w:customStyle="1">
    <w:name w:val="Текст выноски Знак"/>
    <w:basedOn w:val="DefaultParagraphFont"/>
    <w:link w:val="ab"/>
    <w:uiPriority w:val="99"/>
    <w:qFormat/>
    <w:locked/>
    <w:rsid w:val="00ba00fd"/>
    <w:rPr>
      <w:rFonts w:ascii="Tahoma" w:hAnsi="Tahoma" w:cs="Times New Roman"/>
      <w:sz w:val="16"/>
    </w:rPr>
  </w:style>
  <w:style w:type="character" w:styleId="Style9">
    <w:name w:val="Выделение"/>
    <w:basedOn w:val="DefaultParagraphFont"/>
    <w:uiPriority w:val="99"/>
    <w:qFormat/>
    <w:rsid w:val="002c5955"/>
    <w:rPr>
      <w:rFonts w:cs="Times New Roman"/>
      <w:i/>
    </w:rPr>
  </w:style>
  <w:style w:type="character" w:styleId="Style10" w:customStyle="1">
    <w:name w:val="Название Знак"/>
    <w:basedOn w:val="DefaultParagraphFont"/>
    <w:link w:val="ae"/>
    <w:uiPriority w:val="99"/>
    <w:qFormat/>
    <w:locked/>
    <w:rsid w:val="002c5955"/>
    <w:rPr>
      <w:rFonts w:ascii="Cambria" w:hAnsi="Cambria" w:cs="Times New Roman"/>
      <w:color w:val="17365D"/>
      <w:spacing w:val="5"/>
      <w:kern w:val="2"/>
      <w:sz w:val="52"/>
      <w:lang w:val="en-US" w:eastAsia="en-US"/>
    </w:rPr>
  </w:style>
  <w:style w:type="character" w:styleId="Style11" w:customStyle="1">
    <w:name w:val="Подзаголовок Знак"/>
    <w:basedOn w:val="DefaultParagraphFont"/>
    <w:link w:val="af0"/>
    <w:uiPriority w:val="99"/>
    <w:qFormat/>
    <w:locked/>
    <w:rsid w:val="002c5955"/>
    <w:rPr>
      <w:rFonts w:ascii="Cambria" w:hAnsi="Cambria" w:cs="Times New Roman"/>
      <w:i/>
      <w:color w:val="4F81BD"/>
      <w:spacing w:val="15"/>
      <w:sz w:val="24"/>
      <w:lang w:val="en-US" w:eastAsia="en-US"/>
    </w:rPr>
  </w:style>
  <w:style w:type="character" w:styleId="23" w:customStyle="1">
    <w:name w:val="Цитата 2 Знак"/>
    <w:basedOn w:val="DefaultParagraphFont"/>
    <w:link w:val="24"/>
    <w:uiPriority w:val="99"/>
    <w:qFormat/>
    <w:locked/>
    <w:rsid w:val="002c5955"/>
    <w:rPr>
      <w:rFonts w:ascii="Calibri" w:hAnsi="Calibri" w:cs="Times New Roman"/>
      <w:i/>
      <w:color w:val="000000"/>
      <w:sz w:val="22"/>
      <w:lang w:val="en-US" w:eastAsia="en-US"/>
    </w:rPr>
  </w:style>
  <w:style w:type="character" w:styleId="Style12" w:customStyle="1">
    <w:name w:val="Выделенная цитата Знак"/>
    <w:basedOn w:val="DefaultParagraphFont"/>
    <w:link w:val="af2"/>
    <w:uiPriority w:val="99"/>
    <w:qFormat/>
    <w:locked/>
    <w:rsid w:val="002c5955"/>
    <w:rPr>
      <w:rFonts w:ascii="Calibri" w:hAnsi="Calibri" w:cs="Times New Roman"/>
      <w:b/>
      <w:i/>
      <w:color w:val="4F81BD"/>
      <w:sz w:val="22"/>
      <w:lang w:val="en-US" w:eastAsia="en-US"/>
    </w:rPr>
  </w:style>
  <w:style w:type="character" w:styleId="SubtleEmphasis">
    <w:name w:val="Subtle Emphasis"/>
    <w:basedOn w:val="DefaultParagraphFont"/>
    <w:uiPriority w:val="99"/>
    <w:qFormat/>
    <w:rsid w:val="002c5955"/>
    <w:rPr>
      <w:rFonts w:cs="Times New Roman"/>
      <w:i/>
      <w:color w:val="808080"/>
    </w:rPr>
  </w:style>
  <w:style w:type="character" w:styleId="IntenseEmphasis">
    <w:name w:val="Intense Emphasis"/>
    <w:basedOn w:val="DefaultParagraphFont"/>
    <w:uiPriority w:val="99"/>
    <w:qFormat/>
    <w:rsid w:val="002c5955"/>
    <w:rPr>
      <w:rFonts w:cs="Times New Roman"/>
      <w:b/>
      <w:i/>
      <w:color w:val="4F81BD"/>
    </w:rPr>
  </w:style>
  <w:style w:type="character" w:styleId="SubtleReference">
    <w:name w:val="Subtle Reference"/>
    <w:basedOn w:val="DefaultParagraphFont"/>
    <w:uiPriority w:val="99"/>
    <w:qFormat/>
    <w:rsid w:val="002c5955"/>
    <w:rPr>
      <w:rFonts w:cs="Times New Roman"/>
      <w:smallCaps/>
      <w:color w:val="C0504D"/>
      <w:u w:val="single"/>
    </w:rPr>
  </w:style>
  <w:style w:type="character" w:styleId="IntenseReference">
    <w:name w:val="Intense Reference"/>
    <w:basedOn w:val="DefaultParagraphFont"/>
    <w:uiPriority w:val="99"/>
    <w:qFormat/>
    <w:rsid w:val="002c5955"/>
    <w:rPr>
      <w:rFonts w:cs="Times New Roman"/>
      <w:b/>
      <w:smallCaps/>
      <w:color w:val="C0504D"/>
      <w:spacing w:val="5"/>
      <w:u w:val="single"/>
    </w:rPr>
  </w:style>
  <w:style w:type="character" w:styleId="BookTitle">
    <w:name w:val="Book Title"/>
    <w:basedOn w:val="DefaultParagraphFont"/>
    <w:uiPriority w:val="99"/>
    <w:qFormat/>
    <w:rsid w:val="002c5955"/>
    <w:rPr>
      <w:rFonts w:cs="Times New Roman"/>
      <w:b/>
      <w:smallCaps/>
      <w:spacing w:val="5"/>
    </w:rPr>
  </w:style>
  <w:style w:type="character" w:styleId="Style13" w:customStyle="1">
    <w:name w:val="Интернет-ссылка"/>
    <w:basedOn w:val="DefaultParagraphFont"/>
    <w:uiPriority w:val="99"/>
    <w:rsid w:val="00f65c83"/>
    <w:rPr>
      <w:rFonts w:cs="Times New Roman"/>
      <w:color w:val="0000FF"/>
      <w:u w:val="single"/>
    </w:rPr>
  </w:style>
  <w:style w:type="character" w:styleId="FollowedHyperlink">
    <w:name w:val="FollowedHyperlink"/>
    <w:basedOn w:val="DefaultParagraphFont"/>
    <w:uiPriority w:val="99"/>
    <w:qFormat/>
    <w:rsid w:val="00f65c83"/>
    <w:rPr>
      <w:rFonts w:cs="Times New Roman"/>
      <w:color w:val="800080"/>
      <w:u w:val="single"/>
    </w:rPr>
  </w:style>
  <w:style w:type="character" w:styleId="Strong">
    <w:name w:val="Strong"/>
    <w:basedOn w:val="DefaultParagraphFont"/>
    <w:uiPriority w:val="99"/>
    <w:qFormat/>
    <w:rsid w:val="00f65c83"/>
    <w:rPr>
      <w:rFonts w:cs="Times New Roman"/>
      <w:b/>
    </w:rPr>
  </w:style>
  <w:style w:type="character" w:styleId="Style14" w:customStyle="1">
    <w:name w:val="Нижний колонтитул Знак"/>
    <w:basedOn w:val="DefaultParagraphFont"/>
    <w:link w:val="afb"/>
    <w:uiPriority w:val="99"/>
    <w:qFormat/>
    <w:locked/>
    <w:rsid w:val="00f65c83"/>
    <w:rPr>
      <w:rFonts w:ascii="Bookman Old Style" w:hAnsi="Bookman Old Style" w:cs="Times New Roman"/>
    </w:rPr>
  </w:style>
  <w:style w:type="character" w:styleId="24" w:customStyle="1">
    <w:name w:val="Ниж_колонт2 Знак Знак"/>
    <w:uiPriority w:val="99"/>
    <w:qFormat/>
    <w:locked/>
    <w:rsid w:val="00f65c83"/>
    <w:rPr>
      <w:rFonts w:ascii="Bookman Old Style" w:hAnsi="Bookman Old Style"/>
      <w:b/>
      <w:sz w:val="24"/>
    </w:rPr>
  </w:style>
  <w:style w:type="character" w:styleId="Appleconvertedspace" w:customStyle="1">
    <w:name w:val="apple-converted-space"/>
    <w:uiPriority w:val="99"/>
    <w:qFormat/>
    <w:rsid w:val="005f16d0"/>
    <w:rPr/>
  </w:style>
  <w:style w:type="character" w:styleId="25" w:customStyle="1">
    <w:name w:val="Основной текст (2)_"/>
    <w:link w:val="27"/>
    <w:uiPriority w:val="99"/>
    <w:qFormat/>
    <w:locked/>
    <w:rsid w:val="00453ec3"/>
    <w:rPr>
      <w:sz w:val="28"/>
      <w:shd w:fill="FFFFFF" w:val="clear"/>
    </w:rPr>
  </w:style>
  <w:style w:type="character" w:styleId="2105pt" w:customStyle="1">
    <w:name w:val="Основной текст (2) + 10.5 pt"/>
    <w:uiPriority w:val="99"/>
    <w:qFormat/>
    <w:rsid w:val="00453ec3"/>
    <w:rPr>
      <w:color w:val="000000"/>
      <w:spacing w:val="0"/>
      <w:w w:val="100"/>
      <w:sz w:val="21"/>
      <w:shd w:fill="FFFFFF" w:val="clear"/>
      <w:lang w:val="ru-RU" w:eastAsia="ru-RU"/>
    </w:rPr>
  </w:style>
  <w:style w:type="character" w:styleId="211pt" w:customStyle="1">
    <w:name w:val="Основной текст (2) + 11 pt"/>
    <w:uiPriority w:val="99"/>
    <w:qFormat/>
    <w:rsid w:val="00453ec3"/>
    <w:rPr>
      <w:color w:val="000000"/>
      <w:spacing w:val="0"/>
      <w:w w:val="100"/>
      <w:sz w:val="22"/>
      <w:shd w:fill="FFFFFF" w:val="clear"/>
      <w:lang w:val="ru-RU" w:eastAsia="ru-RU"/>
    </w:rPr>
  </w:style>
  <w:style w:type="character" w:styleId="Style15" w:customStyle="1">
    <w:name w:val="Текст сноски Знак"/>
    <w:basedOn w:val="DefaultParagraphFont"/>
    <w:link w:val="afd"/>
    <w:uiPriority w:val="99"/>
    <w:qFormat/>
    <w:locked/>
    <w:rsid w:val="0083334d"/>
    <w:rPr>
      <w:rFonts w:ascii="Calibri" w:hAnsi="Calibri" w:cs="Times New Roman"/>
    </w:rPr>
  </w:style>
  <w:style w:type="character" w:styleId="Style16" w:customStyle="1">
    <w:name w:val="Привязка сноски"/>
    <w:rPr>
      <w:rFonts w:cs="Times New Roman"/>
      <w:vertAlign w:val="superscript"/>
    </w:rPr>
  </w:style>
  <w:style w:type="character" w:styleId="FootnoteCharacters" w:customStyle="1">
    <w:name w:val="Footnote Characters"/>
    <w:basedOn w:val="DefaultParagraphFont"/>
    <w:uiPriority w:val="99"/>
    <w:qFormat/>
    <w:rsid w:val="0083334d"/>
    <w:rPr>
      <w:rFonts w:cs="Times New Roman"/>
      <w:vertAlign w:val="superscript"/>
    </w:rPr>
  </w:style>
  <w:style w:type="character" w:styleId="HTML" w:customStyle="1">
    <w:name w:val="Стандартный HTML Знак"/>
    <w:basedOn w:val="DefaultParagraphFont"/>
    <w:link w:val="HTML0"/>
    <w:uiPriority w:val="99"/>
    <w:qFormat/>
    <w:locked/>
    <w:rsid w:val="00c761f1"/>
    <w:rPr>
      <w:rFonts w:ascii="Courier New" w:hAnsi="Courier New" w:cs="Courier New"/>
    </w:rPr>
  </w:style>
  <w:style w:type="character" w:styleId="Style17" w:customStyle="1">
    <w:name w:val="Основной текст_"/>
    <w:uiPriority w:val="99"/>
    <w:qFormat/>
    <w:locked/>
    <w:rsid w:val="00305f6d"/>
    <w:rPr>
      <w:sz w:val="27"/>
      <w:shd w:fill="FFFFFF" w:val="clear"/>
    </w:rPr>
  </w:style>
  <w:style w:type="character" w:styleId="12" w:customStyle="1">
    <w:name w:val="Основной шрифт абзаца1"/>
    <w:uiPriority w:val="99"/>
    <w:qFormat/>
    <w:rsid w:val="008d15cb"/>
    <w:rPr/>
  </w:style>
  <w:style w:type="character" w:styleId="WW8Num6z0" w:customStyle="1">
    <w:name w:val="WW8Num6z0"/>
    <w:uiPriority w:val="99"/>
    <w:qFormat/>
    <w:rsid w:val="003d2a9d"/>
    <w:rPr>
      <w:rFonts w:ascii="Times New Roman" w:hAnsi="Times New Roman"/>
      <w:color w:val="000000"/>
      <w:spacing w:val="0"/>
      <w:w w:val="100"/>
      <w:position w:val="0"/>
      <w:sz w:val="24"/>
      <w:sz w:val="24"/>
      <w:u w:val="none"/>
      <w:vertAlign w:val="baseline"/>
    </w:rPr>
  </w:style>
  <w:style w:type="character" w:styleId="26" w:customStyle="1">
    <w:name w:val="Основной текст с отступом 2 Знак"/>
    <w:basedOn w:val="DefaultParagraphFont"/>
    <w:link w:val="29"/>
    <w:uiPriority w:val="99"/>
    <w:semiHidden/>
    <w:qFormat/>
    <w:locked/>
    <w:rsid w:val="00d14fcf"/>
    <w:rPr>
      <w:rFonts w:cs="Times New Roman"/>
      <w:sz w:val="20"/>
      <w:szCs w:val="20"/>
    </w:rPr>
  </w:style>
  <w:style w:type="character" w:styleId="Style18" w:customStyle="1">
    <w:name w:val="Абзац списка Знак"/>
    <w:link w:val="aff1"/>
    <w:uiPriority w:val="99"/>
    <w:qFormat/>
    <w:locked/>
    <w:rsid w:val="003f71c0"/>
    <w:rPr>
      <w:sz w:val="22"/>
      <w:lang w:val="ru-RU" w:eastAsia="en-US"/>
    </w:rPr>
  </w:style>
  <w:style w:type="character" w:styleId="ListLabel1" w:customStyle="1">
    <w:name w:val="ListLabel 1"/>
    <w:qFormat/>
    <w:rPr>
      <w:rFonts w:cs="Times New Roman"/>
      <w:sz w:val="24"/>
      <w:szCs w:val="24"/>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b/>
      <w:sz w:val="24"/>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color w:val="auto"/>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color w:val="auto"/>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b w:val="false"/>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b/>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b/>
      <w:sz w:val="24"/>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color w:val="auto"/>
      <w:sz w:val="24"/>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b/>
      <w:sz w:val="24"/>
    </w:rPr>
  </w:style>
  <w:style w:type="character" w:styleId="ListLabel83" w:customStyle="1">
    <w:name w:val="ListLabel 83"/>
    <w:qFormat/>
    <w:rPr>
      <w:rFonts w:cs="Times New Roman"/>
      <w:b/>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b/>
      <w:color w:val="auto"/>
      <w:sz w:val="24"/>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b/>
      <w:sz w:val="24"/>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b w:val="false"/>
      <w:bCs w:val="false"/>
      <w:sz w:val="24"/>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b/>
      <w:sz w:val="24"/>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b/>
      <w:sz w:val="24"/>
    </w:rPr>
  </w:style>
  <w:style w:type="character" w:styleId="ListLabel128" w:customStyle="1">
    <w:name w:val="ListLabel 128"/>
    <w:qFormat/>
    <w:rPr>
      <w:rFonts w:cs="Times New Roman"/>
      <w:sz w:val="24"/>
    </w:rPr>
  </w:style>
  <w:style w:type="character" w:styleId="ListLabel129" w:customStyle="1">
    <w:name w:val="ListLabel 129"/>
    <w:qFormat/>
    <w:rPr>
      <w:rFonts w:cs="Times New Roman"/>
      <w:sz w:val="24"/>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style>
  <w:style w:type="character" w:styleId="ListLabel137" w:customStyle="1">
    <w:name w:val="ListLabel 137"/>
    <w:qFormat/>
    <w:rPr>
      <w:lang w:val="en-US"/>
    </w:rPr>
  </w:style>
  <w:style w:type="character" w:styleId="ListLabel138" w:customStyle="1">
    <w:name w:val="ListLabel 138"/>
    <w:qFormat/>
    <w:rPr>
      <w:sz w:val="24"/>
      <w:szCs w:val="24"/>
      <w:u w:val="single"/>
    </w:rPr>
  </w:style>
  <w:style w:type="character" w:styleId="ListLabel139" w:customStyle="1">
    <w:name w:val="ListLabel 139"/>
    <w:qFormat/>
    <w:rPr>
      <w:bCs/>
      <w:sz w:val="24"/>
      <w:szCs w:val="24"/>
    </w:rPr>
  </w:style>
  <w:style w:type="character" w:styleId="ListLabel140" w:customStyle="1">
    <w:name w:val="ListLabel 140"/>
    <w:qFormat/>
    <w:rPr>
      <w:sz w:val="24"/>
      <w:szCs w:val="24"/>
    </w:rPr>
  </w:style>
  <w:style w:type="character" w:styleId="ListLabel141" w:customStyle="1">
    <w:name w:val="ListLabel 141"/>
    <w:qFormat/>
    <w:rPr>
      <w:sz w:val="24"/>
      <w:szCs w:val="24"/>
      <w:lang w:val="en-US"/>
    </w:rPr>
  </w:style>
  <w:style w:type="character" w:styleId="ListLabel142" w:customStyle="1">
    <w:name w:val="ListLabel 142"/>
    <w:qFormat/>
    <w:rPr>
      <w:sz w:val="24"/>
      <w:szCs w:val="24"/>
    </w:rPr>
  </w:style>
  <w:style w:type="character" w:styleId="ListLabel143">
    <w:name w:val="ListLabel 143"/>
    <w:qFormat/>
    <w:rPr>
      <w:rFonts w:cs="Times New Roman"/>
      <w:sz w:val="24"/>
      <w:szCs w:val="24"/>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b/>
      <w:sz w:val="24"/>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b/>
      <w:sz w:val="24"/>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Symbol"/>
      <w:color w:val="auto"/>
      <w:sz w:val="24"/>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b/>
      <w:sz w:val="24"/>
    </w:rPr>
  </w:style>
  <w:style w:type="character" w:styleId="ListLabel180">
    <w:name w:val="ListLabel 180"/>
    <w:qFormat/>
    <w:rPr>
      <w:rFonts w:cs="Times New Roman"/>
      <w:b/>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Symbol"/>
      <w:b/>
      <w:color w:val="auto"/>
      <w:sz w:val="24"/>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b/>
      <w:sz w:val="24"/>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b/>
      <w:bCs w:val="false"/>
      <w:sz w:val="24"/>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b/>
      <w:sz w:val="24"/>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b/>
      <w:sz w:val="24"/>
    </w:rPr>
  </w:style>
  <w:style w:type="character" w:styleId="ListLabel225">
    <w:name w:val="ListLabel 225"/>
    <w:qFormat/>
    <w:rPr>
      <w:rFonts w:cs="Times New Roman"/>
      <w:sz w:val="24"/>
    </w:rPr>
  </w:style>
  <w:style w:type="character" w:styleId="ListLabel226">
    <w:name w:val="ListLabel 226"/>
    <w:qFormat/>
    <w:rPr>
      <w:rFonts w:cs="Times New Roman"/>
      <w:sz w:val="24"/>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ascii="Times New Roman;serif" w:hAnsi="Times New Roman;serif"/>
      <w:kern w:val="2"/>
      <w:sz w:val="24"/>
      <w:lang w:eastAsia="zh-CN"/>
    </w:rPr>
  </w:style>
  <w:style w:type="character" w:styleId="ListLabel234">
    <w:name w:val="ListLabel 234"/>
    <w:qFormat/>
    <w:rPr>
      <w:rFonts w:ascii="Times New Roman;serif" w:hAnsi="Times New Roman;serif"/>
      <w:kern w:val="2"/>
      <w:sz w:val="24"/>
      <w:lang w:val="en-US" w:eastAsia="zh-CN"/>
    </w:rPr>
  </w:style>
  <w:style w:type="character" w:styleId="ListLabel235">
    <w:name w:val="ListLabel 235"/>
    <w:qFormat/>
    <w:rPr/>
  </w:style>
  <w:style w:type="character" w:styleId="ListLabel236">
    <w:name w:val="ListLabel 236"/>
    <w:qFormat/>
    <w:rPr>
      <w:bCs/>
      <w:sz w:val="24"/>
      <w:szCs w:val="24"/>
    </w:rPr>
  </w:style>
  <w:style w:type="character" w:styleId="ListLabel237">
    <w:name w:val="ListLabel 237"/>
    <w:qFormat/>
    <w:rPr>
      <w:rFonts w:ascii="Times New Roman;serif" w:hAnsi="Times New Roman;serif"/>
      <w:bCs/>
      <w:kern w:val="2"/>
      <w:sz w:val="24"/>
      <w:szCs w:val="24"/>
      <w:u w:val="single"/>
      <w:lang w:eastAsia="zh-CN"/>
    </w:rPr>
  </w:style>
  <w:style w:type="character" w:styleId="ListLabel238">
    <w:name w:val="ListLabel 238"/>
    <w:qFormat/>
    <w:rPr>
      <w:rFonts w:ascii="Times New Roman;serif" w:hAnsi="Times New Roman;serif"/>
      <w:bCs/>
      <w:kern w:val="2"/>
      <w:sz w:val="24"/>
      <w:szCs w:val="24"/>
      <w:u w:val="single"/>
      <w:lang w:val="en-US" w:eastAsia="zh-CN"/>
    </w:rPr>
  </w:style>
  <w:style w:type="character" w:styleId="ListLabel239">
    <w:name w:val="ListLabel 239"/>
    <w:qFormat/>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5"/>
    <w:uiPriority w:val="99"/>
    <w:rsid w:val="0094249c"/>
    <w:pPr>
      <w:widowControl/>
      <w:spacing w:lineRule="auto" w:line="240"/>
      <w:ind w:hanging="0"/>
      <w:jc w:val="both"/>
    </w:pPr>
    <w:rPr>
      <w:sz w:val="24"/>
      <w:szCs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4">
    <w:name w:val="Body Text Indent"/>
    <w:basedOn w:val="Normal"/>
    <w:link w:val="a3"/>
    <w:uiPriority w:val="99"/>
    <w:rsid w:val="0094249c"/>
    <w:pPr>
      <w:widowControl/>
      <w:spacing w:lineRule="auto" w:line="240"/>
      <w:ind w:left="360" w:hanging="0"/>
      <w:jc w:val="both"/>
    </w:pPr>
    <w:rPr>
      <w:sz w:val="24"/>
      <w:szCs w:val="24"/>
    </w:rPr>
  </w:style>
  <w:style w:type="paragraph" w:styleId="Style25">
    <w:name w:val="Header"/>
    <w:basedOn w:val="Normal"/>
    <w:link w:val="a7"/>
    <w:uiPriority w:val="99"/>
    <w:rsid w:val="0094249c"/>
    <w:pPr>
      <w:widowControl/>
      <w:tabs>
        <w:tab w:val="clear" w:pos="708"/>
        <w:tab w:val="center" w:pos="4677" w:leader="none"/>
        <w:tab w:val="right" w:pos="9355" w:leader="none"/>
      </w:tabs>
      <w:spacing w:lineRule="auto" w:line="240"/>
      <w:ind w:hanging="0"/>
    </w:pPr>
    <w:rPr>
      <w:sz w:val="24"/>
      <w:szCs w:val="24"/>
    </w:rPr>
  </w:style>
  <w:style w:type="paragraph" w:styleId="BodyText2">
    <w:name w:val="Body Text 2"/>
    <w:basedOn w:val="Normal"/>
    <w:link w:val="21"/>
    <w:uiPriority w:val="99"/>
    <w:qFormat/>
    <w:rsid w:val="0094249c"/>
    <w:pPr>
      <w:widowControl/>
      <w:spacing w:lineRule="auto" w:line="480" w:before="0" w:after="120"/>
      <w:ind w:hanging="0"/>
    </w:pPr>
    <w:rPr/>
  </w:style>
  <w:style w:type="paragraph" w:styleId="BodyText3">
    <w:name w:val="Body Text 3"/>
    <w:basedOn w:val="Normal"/>
    <w:link w:val="31"/>
    <w:uiPriority w:val="99"/>
    <w:qFormat/>
    <w:rsid w:val="0094249c"/>
    <w:pPr>
      <w:widowControl/>
      <w:spacing w:lineRule="auto" w:line="240" w:before="0" w:after="120"/>
      <w:ind w:hanging="0"/>
    </w:pPr>
    <w:rPr>
      <w:sz w:val="16"/>
      <w:szCs w:val="16"/>
    </w:rPr>
  </w:style>
  <w:style w:type="paragraph" w:styleId="ListParagraph">
    <w:name w:val="List Paragraph"/>
    <w:basedOn w:val="Normal"/>
    <w:link w:val="aff0"/>
    <w:uiPriority w:val="99"/>
    <w:qFormat/>
    <w:rsid w:val="0094249c"/>
    <w:pPr>
      <w:widowControl/>
      <w:spacing w:lineRule="auto" w:line="276" w:before="0" w:after="200"/>
      <w:ind w:left="720" w:hanging="0"/>
      <w:contextualSpacing/>
    </w:pPr>
    <w:rPr>
      <w:lang w:eastAsia="en-US"/>
    </w:rPr>
  </w:style>
  <w:style w:type="paragraph" w:styleId="ConsPlusTitle" w:customStyle="1">
    <w:name w:val="ConsPlusTitle"/>
    <w:uiPriority w:val="99"/>
    <w:qFormat/>
    <w:rsid w:val="0094249c"/>
    <w:pPr>
      <w:widowControl w:val="false"/>
      <w:bidi w:val="0"/>
      <w:jc w:val="left"/>
    </w:pPr>
    <w:rPr>
      <w:rFonts w:ascii="Arial" w:hAnsi="Arial" w:cs="Arial" w:eastAsia="Times New Roman"/>
      <w:b/>
      <w:bCs/>
      <w:color w:val="auto"/>
      <w:kern w:val="0"/>
      <w:sz w:val="16"/>
      <w:szCs w:val="16"/>
      <w:lang w:val="ru-RU" w:eastAsia="ru-RU" w:bidi="ar-SA"/>
    </w:rPr>
  </w:style>
  <w:style w:type="paragraph" w:styleId="BalloonText">
    <w:name w:val="Balloon Text"/>
    <w:basedOn w:val="Normal"/>
    <w:link w:val="aa"/>
    <w:uiPriority w:val="99"/>
    <w:qFormat/>
    <w:rsid w:val="00ba00fd"/>
    <w:pPr>
      <w:spacing w:lineRule="auto" w:line="240"/>
    </w:pPr>
    <w:rPr>
      <w:rFonts w:ascii="Tahoma" w:hAnsi="Tahoma"/>
      <w:sz w:val="16"/>
      <w:szCs w:val="16"/>
    </w:rPr>
  </w:style>
  <w:style w:type="paragraph" w:styleId="Style26">
    <w:name w:val="Title"/>
    <w:basedOn w:val="Normal"/>
    <w:next w:val="Normal"/>
    <w:link w:val="ad"/>
    <w:uiPriority w:val="99"/>
    <w:qFormat/>
    <w:rsid w:val="002c5955"/>
    <w:pPr>
      <w:widowControl/>
      <w:pBdr>
        <w:bottom w:val="single" w:sz="8" w:space="4" w:color="4F81BD"/>
      </w:pBdr>
      <w:spacing w:lineRule="auto" w:line="240" w:before="0" w:after="300"/>
      <w:ind w:hanging="0"/>
      <w:contextualSpacing/>
    </w:pPr>
    <w:rPr>
      <w:rFonts w:ascii="Cambria" w:hAnsi="Cambria"/>
      <w:color w:val="17365D"/>
      <w:spacing w:val="5"/>
      <w:kern w:val="2"/>
      <w:sz w:val="52"/>
      <w:szCs w:val="52"/>
      <w:lang w:val="en-US" w:eastAsia="en-US"/>
    </w:rPr>
  </w:style>
  <w:style w:type="paragraph" w:styleId="Style27">
    <w:name w:val="Subtitle"/>
    <w:basedOn w:val="Normal"/>
    <w:next w:val="Normal"/>
    <w:link w:val="af"/>
    <w:uiPriority w:val="99"/>
    <w:qFormat/>
    <w:rsid w:val="002c5955"/>
    <w:pPr>
      <w:widowControl/>
      <w:spacing w:lineRule="auto" w:line="276" w:before="0" w:after="200"/>
      <w:ind w:hanging="0"/>
    </w:pPr>
    <w:rPr>
      <w:rFonts w:ascii="Cambria" w:hAnsi="Cambria"/>
      <w:i/>
      <w:iCs/>
      <w:color w:val="4F81BD"/>
      <w:spacing w:val="15"/>
      <w:sz w:val="24"/>
      <w:szCs w:val="24"/>
      <w:lang w:val="en-US" w:eastAsia="en-US"/>
    </w:rPr>
  </w:style>
  <w:style w:type="paragraph" w:styleId="NoSpacing">
    <w:name w:val="No Spacing"/>
    <w:uiPriority w:val="99"/>
    <w:qFormat/>
    <w:rsid w:val="002c5955"/>
    <w:pPr>
      <w:widowControl/>
      <w:bidi w:val="0"/>
      <w:jc w:val="left"/>
    </w:pPr>
    <w:rPr>
      <w:rFonts w:ascii="Calibri" w:hAnsi="Calibri" w:eastAsia="Times New Roman" w:cs="Times New Roman"/>
      <w:color w:val="auto"/>
      <w:kern w:val="0"/>
      <w:sz w:val="22"/>
      <w:szCs w:val="22"/>
      <w:lang w:val="en-US" w:eastAsia="en-US" w:bidi="ar-SA"/>
    </w:rPr>
  </w:style>
  <w:style w:type="paragraph" w:styleId="Quote">
    <w:name w:val="Quote"/>
    <w:basedOn w:val="Normal"/>
    <w:next w:val="Normal"/>
    <w:link w:val="23"/>
    <w:uiPriority w:val="99"/>
    <w:qFormat/>
    <w:rsid w:val="002c5955"/>
    <w:pPr>
      <w:widowControl/>
      <w:spacing w:lineRule="auto" w:line="276" w:before="0" w:after="200"/>
      <w:ind w:hanging="0"/>
    </w:pPr>
    <w:rPr>
      <w:rFonts w:ascii="Calibri" w:hAnsi="Calibri"/>
      <w:i/>
      <w:iCs/>
      <w:color w:val="000000"/>
      <w:szCs w:val="22"/>
      <w:lang w:val="en-US" w:eastAsia="en-US"/>
    </w:rPr>
  </w:style>
  <w:style w:type="paragraph" w:styleId="IntenseQuote">
    <w:name w:val="Intense Quote"/>
    <w:basedOn w:val="Normal"/>
    <w:next w:val="Normal"/>
    <w:link w:val="af1"/>
    <w:uiPriority w:val="99"/>
    <w:qFormat/>
    <w:rsid w:val="002c5955"/>
    <w:pPr>
      <w:widowControl/>
      <w:pBdr>
        <w:bottom w:val="single" w:sz="4" w:space="4" w:color="4F81BD"/>
      </w:pBdr>
      <w:spacing w:lineRule="auto" w:line="276" w:before="200" w:after="280"/>
      <w:ind w:left="936" w:right="936" w:hanging="0"/>
    </w:pPr>
    <w:rPr>
      <w:rFonts w:ascii="Calibri" w:hAnsi="Calibri"/>
      <w:b/>
      <w:bCs/>
      <w:i/>
      <w:iCs/>
      <w:color w:val="4F81BD"/>
      <w:szCs w:val="22"/>
      <w:lang w:val="en-US" w:eastAsia="en-US"/>
    </w:rPr>
  </w:style>
  <w:style w:type="paragraph" w:styleId="Style28" w:customStyle="1">
    <w:name w:val="Знак Знак Знак Знак"/>
    <w:basedOn w:val="Normal"/>
    <w:uiPriority w:val="99"/>
    <w:qFormat/>
    <w:rsid w:val="002c5955"/>
    <w:pPr>
      <w:widowControl/>
      <w:spacing w:lineRule="auto" w:line="276" w:before="0" w:after="200"/>
      <w:ind w:hanging="0"/>
    </w:pPr>
    <w:rPr>
      <w:rFonts w:ascii="Verdana" w:hAnsi="Verdana" w:cs="Verdana"/>
      <w:szCs w:val="22"/>
      <w:lang w:val="en-US" w:eastAsia="en-US"/>
    </w:rPr>
  </w:style>
  <w:style w:type="paragraph" w:styleId="Style29">
    <w:name w:val="Footer"/>
    <w:basedOn w:val="Normal"/>
    <w:link w:val="afa"/>
    <w:uiPriority w:val="99"/>
    <w:rsid w:val="00f65c83"/>
    <w:pPr>
      <w:widowControl/>
      <w:tabs>
        <w:tab w:val="clear" w:pos="708"/>
        <w:tab w:val="center" w:pos="4677" w:leader="none"/>
        <w:tab w:val="right" w:pos="9355" w:leader="none"/>
      </w:tabs>
      <w:spacing w:lineRule="auto" w:line="240"/>
      <w:ind w:hanging="0"/>
      <w:jc w:val="both"/>
    </w:pPr>
    <w:rPr>
      <w:rFonts w:ascii="Bookman Old Style" w:hAnsi="Bookman Old Style"/>
      <w:sz w:val="20"/>
    </w:rPr>
  </w:style>
  <w:style w:type="paragraph" w:styleId="27" w:customStyle="1">
    <w:name w:val="Знак2 Знак Знак Знак Знак Знак Знак Знак Знак Знак Знак Знак Знак Знак Знак Знак Знак Знак Знак"/>
    <w:basedOn w:val="Normal"/>
    <w:link w:val="2b"/>
    <w:uiPriority w:val="99"/>
    <w:qFormat/>
    <w:rsid w:val="00f65c83"/>
    <w:pPr>
      <w:widowControl/>
      <w:spacing w:lineRule="exact" w:line="240" w:before="0" w:after="160"/>
      <w:ind w:hanging="0"/>
    </w:pPr>
    <w:rPr>
      <w:rFonts w:ascii="Verdana" w:hAnsi="Verdana"/>
      <w:sz w:val="20"/>
      <w:lang w:val="en-US" w:eastAsia="en-US"/>
    </w:rPr>
  </w:style>
  <w:style w:type="paragraph" w:styleId="28" w:customStyle="1">
    <w:name w:val="Ниж_колонт2 Знак"/>
    <w:basedOn w:val="Normal"/>
    <w:link w:val="26"/>
    <w:autoRedefine/>
    <w:uiPriority w:val="99"/>
    <w:qFormat/>
    <w:rsid w:val="00f65c83"/>
    <w:pPr>
      <w:widowControl/>
      <w:spacing w:lineRule="auto" w:line="240"/>
      <w:ind w:hanging="0"/>
      <w:jc w:val="both"/>
    </w:pPr>
    <w:rPr>
      <w:rFonts w:ascii="Bookman Old Style" w:hAnsi="Bookman Old Style"/>
      <w:b/>
      <w:sz w:val="24"/>
    </w:rPr>
  </w:style>
  <w:style w:type="paragraph" w:styleId="Font5" w:customStyle="1">
    <w:name w:val="font5"/>
    <w:basedOn w:val="Normal"/>
    <w:uiPriority w:val="99"/>
    <w:qFormat/>
    <w:rsid w:val="00f65c83"/>
    <w:pPr>
      <w:widowControl/>
      <w:spacing w:lineRule="auto" w:line="240" w:beforeAutospacing="1" w:afterAutospacing="1"/>
      <w:ind w:hanging="0"/>
    </w:pPr>
    <w:rPr>
      <w:color w:val="000000"/>
      <w:sz w:val="24"/>
      <w:szCs w:val="24"/>
    </w:rPr>
  </w:style>
  <w:style w:type="paragraph" w:styleId="Font6" w:customStyle="1">
    <w:name w:val="font6"/>
    <w:basedOn w:val="Normal"/>
    <w:uiPriority w:val="99"/>
    <w:qFormat/>
    <w:rsid w:val="00f65c83"/>
    <w:pPr>
      <w:widowControl/>
      <w:spacing w:lineRule="auto" w:line="240" w:beforeAutospacing="1" w:afterAutospacing="1"/>
      <w:ind w:hanging="0"/>
    </w:pPr>
    <w:rPr>
      <w:color w:val="000000"/>
      <w:sz w:val="24"/>
      <w:szCs w:val="24"/>
    </w:rPr>
  </w:style>
  <w:style w:type="paragraph" w:styleId="Font7" w:customStyle="1">
    <w:name w:val="font7"/>
    <w:basedOn w:val="Normal"/>
    <w:uiPriority w:val="99"/>
    <w:qFormat/>
    <w:rsid w:val="00f65c83"/>
    <w:pPr>
      <w:widowControl/>
      <w:spacing w:lineRule="auto" w:line="240" w:beforeAutospacing="1" w:afterAutospacing="1"/>
      <w:ind w:hanging="0"/>
    </w:pPr>
    <w:rPr>
      <w:color w:val="000000"/>
      <w:sz w:val="14"/>
      <w:szCs w:val="14"/>
    </w:rPr>
  </w:style>
  <w:style w:type="paragraph" w:styleId="Xl63" w:customStyle="1">
    <w:name w:val="xl63"/>
    <w:basedOn w:val="Normal"/>
    <w:uiPriority w:val="99"/>
    <w:qFormat/>
    <w:rsid w:val="00f65c83"/>
    <w:pPr>
      <w:widowControl/>
      <w:pBdr>
        <w:bottom w:val="single" w:sz="8" w:space="0" w:color="000000"/>
        <w:right w:val="single" w:sz="8" w:space="0" w:color="000000"/>
      </w:pBdr>
      <w:spacing w:lineRule="auto" w:line="240" w:beforeAutospacing="1" w:afterAutospacing="1"/>
      <w:ind w:hanging="0"/>
      <w:jc w:val="center"/>
    </w:pPr>
    <w:rPr>
      <w:color w:val="000000"/>
      <w:sz w:val="24"/>
      <w:szCs w:val="24"/>
    </w:rPr>
  </w:style>
  <w:style w:type="paragraph" w:styleId="Xl64" w:customStyle="1">
    <w:name w:val="xl64"/>
    <w:basedOn w:val="Normal"/>
    <w:uiPriority w:val="99"/>
    <w:qFormat/>
    <w:rsid w:val="00f65c83"/>
    <w:pPr>
      <w:widowControl/>
      <w:pBdr>
        <w:left w:val="single" w:sz="8" w:space="7" w:color="000000"/>
        <w:bottom w:val="single" w:sz="8" w:space="0" w:color="000000"/>
        <w:right w:val="single" w:sz="8" w:space="0" w:color="000000"/>
      </w:pBdr>
      <w:shd w:val="clear" w:color="auto" w:fill="FFFFFF"/>
      <w:spacing w:lineRule="auto" w:line="240" w:beforeAutospacing="1" w:afterAutospacing="1"/>
      <w:ind w:hanging="0"/>
    </w:pPr>
    <w:rPr>
      <w:color w:val="000000"/>
      <w:sz w:val="24"/>
      <w:szCs w:val="24"/>
    </w:rPr>
  </w:style>
  <w:style w:type="paragraph" w:styleId="Xl65" w:customStyle="1">
    <w:name w:val="xl65"/>
    <w:basedOn w:val="Normal"/>
    <w:uiPriority w:val="99"/>
    <w:qFormat/>
    <w:rsid w:val="00f65c83"/>
    <w:pPr>
      <w:widowControl/>
      <w:pBdr>
        <w:bottom w:val="single" w:sz="8" w:space="0" w:color="000000"/>
        <w:right w:val="single" w:sz="8" w:space="0" w:color="000000"/>
      </w:pBdr>
      <w:shd w:val="clear" w:color="auto" w:fill="FFFFFF"/>
      <w:spacing w:lineRule="auto" w:line="240" w:beforeAutospacing="1" w:afterAutospacing="1"/>
      <w:ind w:hanging="0"/>
    </w:pPr>
    <w:rPr>
      <w:color w:val="000000"/>
      <w:sz w:val="24"/>
      <w:szCs w:val="24"/>
    </w:rPr>
  </w:style>
  <w:style w:type="paragraph" w:styleId="Xl66" w:customStyle="1">
    <w:name w:val="xl66"/>
    <w:basedOn w:val="Normal"/>
    <w:uiPriority w:val="99"/>
    <w:qFormat/>
    <w:rsid w:val="00f65c83"/>
    <w:pPr>
      <w:widowControl/>
      <w:pBdr>
        <w:bottom w:val="single" w:sz="8" w:space="0" w:color="000000"/>
        <w:right w:val="single" w:sz="8" w:space="0" w:color="000000"/>
      </w:pBdr>
      <w:shd w:val="clear" w:color="auto" w:fill="FFFFFF"/>
      <w:spacing w:lineRule="auto" w:line="240" w:beforeAutospacing="1" w:afterAutospacing="1"/>
      <w:ind w:hanging="0"/>
      <w:jc w:val="center"/>
    </w:pPr>
    <w:rPr>
      <w:color w:val="000000"/>
      <w:sz w:val="24"/>
      <w:szCs w:val="24"/>
    </w:rPr>
  </w:style>
  <w:style w:type="paragraph" w:styleId="Xl67" w:customStyle="1">
    <w:name w:val="xl67"/>
    <w:basedOn w:val="Normal"/>
    <w:uiPriority w:val="99"/>
    <w:qFormat/>
    <w:rsid w:val="00f65c83"/>
    <w:pPr>
      <w:widowControl/>
      <w:pBdr>
        <w:bottom w:val="single" w:sz="8" w:space="0" w:color="000000"/>
        <w:right w:val="single" w:sz="8" w:space="0" w:color="000000"/>
      </w:pBdr>
      <w:shd w:val="clear" w:color="auto" w:fill="FFFFFF"/>
      <w:spacing w:lineRule="auto" w:line="240" w:beforeAutospacing="1" w:afterAutospacing="1"/>
      <w:ind w:hanging="0"/>
    </w:pPr>
    <w:rPr>
      <w:color w:val="000000"/>
      <w:sz w:val="24"/>
      <w:szCs w:val="24"/>
    </w:rPr>
  </w:style>
  <w:style w:type="paragraph" w:styleId="Xl68" w:customStyle="1">
    <w:name w:val="xl68"/>
    <w:basedOn w:val="Normal"/>
    <w:uiPriority w:val="99"/>
    <w:qFormat/>
    <w:rsid w:val="00f65c83"/>
    <w:pPr>
      <w:widowControl/>
      <w:pBdr>
        <w:bottom w:val="single" w:sz="8" w:space="0" w:color="000000"/>
        <w:right w:val="single" w:sz="8" w:space="0" w:color="000000"/>
      </w:pBdr>
      <w:spacing w:lineRule="auto" w:line="240" w:beforeAutospacing="1" w:afterAutospacing="1"/>
      <w:ind w:hanging="0"/>
    </w:pPr>
    <w:rPr>
      <w:color w:val="000000"/>
      <w:sz w:val="24"/>
      <w:szCs w:val="24"/>
    </w:rPr>
  </w:style>
  <w:style w:type="paragraph" w:styleId="Xl69" w:customStyle="1">
    <w:name w:val="xl69"/>
    <w:basedOn w:val="Normal"/>
    <w:uiPriority w:val="99"/>
    <w:qFormat/>
    <w:rsid w:val="00f65c83"/>
    <w:pPr>
      <w:widowControl/>
      <w:pBdr>
        <w:bottom w:val="single" w:sz="8" w:space="0" w:color="000000"/>
        <w:right w:val="single" w:sz="8" w:space="0" w:color="000000"/>
      </w:pBdr>
      <w:shd w:val="clear" w:color="auto" w:fill="FFFFFF"/>
      <w:spacing w:lineRule="auto" w:line="240" w:beforeAutospacing="1" w:afterAutospacing="1"/>
      <w:ind w:hanging="0"/>
    </w:pPr>
    <w:rPr>
      <w:color w:val="000000"/>
      <w:sz w:val="24"/>
      <w:szCs w:val="24"/>
    </w:rPr>
  </w:style>
  <w:style w:type="paragraph" w:styleId="Xl70" w:customStyle="1">
    <w:name w:val="xl70"/>
    <w:basedOn w:val="Normal"/>
    <w:uiPriority w:val="99"/>
    <w:qFormat/>
    <w:rsid w:val="00f65c83"/>
    <w:pPr>
      <w:widowControl/>
      <w:pBdr>
        <w:bottom w:val="single" w:sz="8" w:space="0" w:color="000000"/>
        <w:right w:val="single" w:sz="8" w:space="0" w:color="000000"/>
      </w:pBdr>
      <w:shd w:val="clear" w:color="auto" w:fill="FFFFFF"/>
      <w:spacing w:lineRule="auto" w:line="240" w:beforeAutospacing="1" w:afterAutospacing="1"/>
      <w:ind w:hanging="0"/>
    </w:pPr>
    <w:rPr>
      <w:sz w:val="24"/>
      <w:szCs w:val="24"/>
    </w:rPr>
  </w:style>
  <w:style w:type="paragraph" w:styleId="Xl71" w:customStyle="1">
    <w:name w:val="xl71"/>
    <w:basedOn w:val="Normal"/>
    <w:uiPriority w:val="99"/>
    <w:qFormat/>
    <w:rsid w:val="00f65c83"/>
    <w:pPr>
      <w:widowControl/>
      <w:shd w:val="clear" w:color="auto" w:fill="FCD5B4"/>
      <w:spacing w:lineRule="auto" w:line="240" w:beforeAutospacing="1" w:afterAutospacing="1"/>
      <w:ind w:hanging="0"/>
    </w:pPr>
    <w:rPr>
      <w:sz w:val="24"/>
      <w:szCs w:val="24"/>
    </w:rPr>
  </w:style>
  <w:style w:type="paragraph" w:styleId="Xl72" w:customStyle="1">
    <w:name w:val="xl72"/>
    <w:basedOn w:val="Normal"/>
    <w:uiPriority w:val="99"/>
    <w:qFormat/>
    <w:rsid w:val="00f65c83"/>
    <w:pPr>
      <w:widowControl/>
      <w:pBdr>
        <w:left w:val="single" w:sz="8" w:space="7" w:color="000000"/>
        <w:bottom w:val="single" w:sz="8" w:space="0" w:color="000000"/>
        <w:right w:val="single" w:sz="8" w:space="0" w:color="000000"/>
      </w:pBdr>
      <w:shd w:val="clear" w:color="auto" w:fill="FCD5B4"/>
      <w:spacing w:lineRule="auto" w:line="240" w:beforeAutospacing="1" w:afterAutospacing="1"/>
      <w:ind w:hanging="0"/>
    </w:pPr>
    <w:rPr>
      <w:color w:val="000000"/>
      <w:sz w:val="24"/>
      <w:szCs w:val="24"/>
    </w:rPr>
  </w:style>
  <w:style w:type="paragraph" w:styleId="Xl73" w:customStyle="1">
    <w:name w:val="xl73"/>
    <w:basedOn w:val="Normal"/>
    <w:uiPriority w:val="99"/>
    <w:qFormat/>
    <w:rsid w:val="00f65c83"/>
    <w:pPr>
      <w:widowControl/>
      <w:pBdr>
        <w:bottom w:val="single" w:sz="8" w:space="0" w:color="000000"/>
        <w:right w:val="single" w:sz="8" w:space="0" w:color="000000"/>
      </w:pBdr>
      <w:shd w:val="clear" w:color="auto" w:fill="FCD5B4"/>
      <w:spacing w:lineRule="auto" w:line="240" w:beforeAutospacing="1" w:afterAutospacing="1"/>
      <w:ind w:hanging="0"/>
    </w:pPr>
    <w:rPr>
      <w:color w:val="000000"/>
      <w:sz w:val="24"/>
      <w:szCs w:val="24"/>
    </w:rPr>
  </w:style>
  <w:style w:type="paragraph" w:styleId="Xl74" w:customStyle="1">
    <w:name w:val="xl74"/>
    <w:basedOn w:val="Normal"/>
    <w:uiPriority w:val="99"/>
    <w:qFormat/>
    <w:rsid w:val="00f65c83"/>
    <w:pPr>
      <w:widowControl/>
      <w:pBdr>
        <w:bottom w:val="single" w:sz="8" w:space="0" w:color="000000"/>
        <w:right w:val="single" w:sz="8" w:space="0" w:color="000000"/>
      </w:pBdr>
      <w:shd w:val="clear" w:color="auto" w:fill="FCD5B4"/>
      <w:spacing w:lineRule="auto" w:line="240" w:beforeAutospacing="1" w:afterAutospacing="1"/>
      <w:ind w:hanging="0"/>
      <w:jc w:val="center"/>
    </w:pPr>
    <w:rPr>
      <w:color w:val="000000"/>
      <w:sz w:val="24"/>
      <w:szCs w:val="24"/>
    </w:rPr>
  </w:style>
  <w:style w:type="paragraph" w:styleId="Xl75" w:customStyle="1">
    <w:name w:val="xl75"/>
    <w:basedOn w:val="Normal"/>
    <w:uiPriority w:val="99"/>
    <w:qFormat/>
    <w:rsid w:val="00f65c83"/>
    <w:pPr>
      <w:widowControl/>
      <w:spacing w:lineRule="auto" w:line="240" w:beforeAutospacing="1" w:afterAutospacing="1"/>
      <w:ind w:hanging="0"/>
    </w:pPr>
    <w:rPr>
      <w:sz w:val="20"/>
    </w:rPr>
  </w:style>
  <w:style w:type="paragraph" w:styleId="Xl76" w:customStyle="1">
    <w:name w:val="xl76"/>
    <w:basedOn w:val="Normal"/>
    <w:uiPriority w:val="99"/>
    <w:qFormat/>
    <w:rsid w:val="00f65c83"/>
    <w:pPr>
      <w:widowControl/>
      <w:shd w:val="clear" w:color="auto" w:fill="FCD5B4"/>
      <w:spacing w:lineRule="auto" w:line="240" w:beforeAutospacing="1" w:afterAutospacing="1"/>
      <w:ind w:hanging="0"/>
    </w:pPr>
    <w:rPr>
      <w:sz w:val="20"/>
    </w:rPr>
  </w:style>
  <w:style w:type="paragraph" w:styleId="Xl77" w:customStyle="1">
    <w:name w:val="xl77"/>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FCD5B4"/>
      <w:spacing w:lineRule="auto" w:line="240" w:beforeAutospacing="1" w:afterAutospacing="1"/>
      <w:ind w:hanging="0"/>
      <w:jc w:val="center"/>
    </w:pPr>
    <w:rPr>
      <w:sz w:val="24"/>
      <w:szCs w:val="24"/>
    </w:rPr>
  </w:style>
  <w:style w:type="paragraph" w:styleId="Xl78" w:customStyle="1">
    <w:name w:val="xl78"/>
    <w:basedOn w:val="Normal"/>
    <w:uiPriority w:val="99"/>
    <w:qFormat/>
    <w:rsid w:val="00f65c83"/>
    <w:pPr>
      <w:widowControl/>
      <w:pBdr>
        <w:top w:val="single" w:sz="4" w:space="0" w:color="000000"/>
        <w:left w:val="single" w:sz="4" w:space="0" w:color="000000"/>
        <w:bottom w:val="single" w:sz="4" w:space="0" w:color="000000"/>
        <w:right w:val="single" w:sz="4" w:space="0" w:color="000000"/>
      </w:pBdr>
      <w:spacing w:lineRule="auto" w:line="240" w:beforeAutospacing="1" w:afterAutospacing="1"/>
      <w:ind w:hanging="0"/>
      <w:jc w:val="center"/>
    </w:pPr>
    <w:rPr>
      <w:sz w:val="24"/>
      <w:szCs w:val="24"/>
    </w:rPr>
  </w:style>
  <w:style w:type="paragraph" w:styleId="Xl79" w:customStyle="1">
    <w:name w:val="xl79"/>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92D050"/>
      <w:spacing w:lineRule="auto" w:line="240" w:beforeAutospacing="1" w:afterAutospacing="1"/>
      <w:ind w:hanging="0"/>
      <w:jc w:val="center"/>
    </w:pPr>
    <w:rPr>
      <w:sz w:val="24"/>
      <w:szCs w:val="24"/>
    </w:rPr>
  </w:style>
  <w:style w:type="paragraph" w:styleId="Xl80" w:customStyle="1">
    <w:name w:val="xl80"/>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92D050"/>
      <w:spacing w:lineRule="auto" w:line="240" w:beforeAutospacing="1" w:afterAutospacing="1"/>
      <w:ind w:hanging="0"/>
      <w:jc w:val="center"/>
    </w:pPr>
    <w:rPr>
      <w:sz w:val="24"/>
      <w:szCs w:val="24"/>
    </w:rPr>
  </w:style>
  <w:style w:type="paragraph" w:styleId="Xl81" w:customStyle="1">
    <w:name w:val="xl81"/>
    <w:basedOn w:val="Normal"/>
    <w:uiPriority w:val="99"/>
    <w:qFormat/>
    <w:rsid w:val="00f65c83"/>
    <w:pPr>
      <w:widowControl/>
      <w:pBdr>
        <w:left w:val="single" w:sz="8" w:space="7" w:color="000000"/>
        <w:bottom w:val="single" w:sz="8" w:space="0" w:color="000000"/>
        <w:right w:val="single" w:sz="8" w:space="0" w:color="000000"/>
      </w:pBdr>
      <w:spacing w:lineRule="auto" w:line="240" w:beforeAutospacing="1" w:afterAutospacing="1"/>
      <w:ind w:hanging="0"/>
    </w:pPr>
    <w:rPr>
      <w:color w:val="000000"/>
      <w:sz w:val="24"/>
      <w:szCs w:val="24"/>
    </w:rPr>
  </w:style>
  <w:style w:type="paragraph" w:styleId="Xl82" w:customStyle="1">
    <w:name w:val="xl82"/>
    <w:basedOn w:val="Normal"/>
    <w:uiPriority w:val="99"/>
    <w:qFormat/>
    <w:rsid w:val="00f65c83"/>
    <w:pPr>
      <w:widowControl/>
      <w:pBdr>
        <w:top w:val="single" w:sz="4" w:space="0" w:color="000000"/>
        <w:left w:val="single" w:sz="4" w:space="0" w:color="000000"/>
        <w:bottom w:val="single" w:sz="4" w:space="0" w:color="000000"/>
        <w:right w:val="single" w:sz="4" w:space="0" w:color="000000"/>
      </w:pBdr>
      <w:spacing w:lineRule="auto" w:line="240" w:beforeAutospacing="1" w:afterAutospacing="1"/>
      <w:ind w:hanging="0"/>
      <w:jc w:val="center"/>
    </w:pPr>
    <w:rPr>
      <w:sz w:val="24"/>
      <w:szCs w:val="24"/>
    </w:rPr>
  </w:style>
  <w:style w:type="paragraph" w:styleId="Xl83" w:customStyle="1">
    <w:name w:val="xl83"/>
    <w:basedOn w:val="Normal"/>
    <w:uiPriority w:val="99"/>
    <w:qFormat/>
    <w:rsid w:val="00f65c83"/>
    <w:pPr>
      <w:widowControl/>
      <w:pBdr>
        <w:top w:val="single" w:sz="4" w:space="0" w:color="000000"/>
        <w:left w:val="single" w:sz="4" w:space="0" w:color="000000"/>
        <w:bottom w:val="single" w:sz="4" w:space="0" w:color="000000"/>
        <w:right w:val="single" w:sz="4" w:space="0" w:color="000000"/>
      </w:pBdr>
      <w:spacing w:lineRule="auto" w:line="240" w:beforeAutospacing="1" w:afterAutospacing="1"/>
      <w:ind w:hanging="0"/>
      <w:jc w:val="center"/>
    </w:pPr>
    <w:rPr>
      <w:sz w:val="24"/>
      <w:szCs w:val="24"/>
    </w:rPr>
  </w:style>
  <w:style w:type="paragraph" w:styleId="Xl84" w:customStyle="1">
    <w:name w:val="xl84"/>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FCD5B4"/>
      <w:spacing w:lineRule="auto" w:line="240" w:beforeAutospacing="1" w:afterAutospacing="1"/>
      <w:ind w:hanging="0"/>
      <w:jc w:val="center"/>
    </w:pPr>
    <w:rPr>
      <w:sz w:val="24"/>
      <w:szCs w:val="24"/>
    </w:rPr>
  </w:style>
  <w:style w:type="paragraph" w:styleId="Xl85" w:customStyle="1">
    <w:name w:val="xl85"/>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FCD5B4"/>
      <w:spacing w:lineRule="auto" w:line="240" w:beforeAutospacing="1" w:afterAutospacing="1"/>
      <w:ind w:hanging="0"/>
      <w:jc w:val="center"/>
    </w:pPr>
    <w:rPr>
      <w:sz w:val="24"/>
      <w:szCs w:val="24"/>
    </w:rPr>
  </w:style>
  <w:style w:type="paragraph" w:styleId="Xl86" w:customStyle="1">
    <w:name w:val="xl86"/>
    <w:basedOn w:val="Normal"/>
    <w:uiPriority w:val="99"/>
    <w:qFormat/>
    <w:rsid w:val="00f65c83"/>
    <w:pPr>
      <w:widowControl/>
      <w:pBdr>
        <w:bottom w:val="single" w:sz="8" w:space="0" w:color="000000"/>
        <w:right w:val="single" w:sz="8" w:space="0" w:color="000000"/>
      </w:pBdr>
      <w:spacing w:lineRule="auto" w:line="240" w:beforeAutospacing="1" w:afterAutospacing="1"/>
      <w:ind w:hanging="0"/>
      <w:jc w:val="center"/>
    </w:pPr>
    <w:rPr>
      <w:color w:val="000000"/>
      <w:sz w:val="24"/>
      <w:szCs w:val="24"/>
    </w:rPr>
  </w:style>
  <w:style w:type="paragraph" w:styleId="Xl87" w:customStyle="1">
    <w:name w:val="xl87"/>
    <w:basedOn w:val="Normal"/>
    <w:uiPriority w:val="99"/>
    <w:qFormat/>
    <w:rsid w:val="00f65c83"/>
    <w:pPr>
      <w:widowControl/>
      <w:pBdr>
        <w:bottom w:val="single" w:sz="8" w:space="0" w:color="000000"/>
        <w:right w:val="single" w:sz="8" w:space="0" w:color="000000"/>
      </w:pBdr>
      <w:spacing w:lineRule="auto" w:line="240" w:beforeAutospacing="1" w:afterAutospacing="1"/>
      <w:ind w:hanging="0"/>
      <w:jc w:val="center"/>
    </w:pPr>
    <w:rPr>
      <w:color w:val="FF0000"/>
      <w:sz w:val="24"/>
      <w:szCs w:val="24"/>
    </w:rPr>
  </w:style>
  <w:style w:type="paragraph" w:styleId="Xl88" w:customStyle="1">
    <w:name w:val="xl88"/>
    <w:basedOn w:val="Normal"/>
    <w:uiPriority w:val="99"/>
    <w:qFormat/>
    <w:rsid w:val="00f65c83"/>
    <w:pPr>
      <w:widowControl/>
      <w:pBdr>
        <w:bottom w:val="single" w:sz="8" w:space="0" w:color="000000"/>
        <w:right w:val="single" w:sz="8" w:space="0" w:color="000000"/>
      </w:pBdr>
      <w:spacing w:lineRule="auto" w:line="240" w:beforeAutospacing="1" w:afterAutospacing="1"/>
      <w:ind w:hanging="0"/>
    </w:pPr>
    <w:rPr>
      <w:color w:val="000000"/>
      <w:sz w:val="24"/>
      <w:szCs w:val="24"/>
    </w:rPr>
  </w:style>
  <w:style w:type="paragraph" w:styleId="Xl89" w:customStyle="1">
    <w:name w:val="xl89"/>
    <w:basedOn w:val="Normal"/>
    <w:uiPriority w:val="99"/>
    <w:qFormat/>
    <w:rsid w:val="00f65c83"/>
    <w:pPr>
      <w:widowControl/>
      <w:pBdr>
        <w:left w:val="single" w:sz="8" w:space="7" w:color="000000"/>
        <w:bottom w:val="single" w:sz="8" w:space="0" w:color="000000"/>
        <w:right w:val="single" w:sz="8" w:space="0" w:color="000000"/>
      </w:pBdr>
      <w:shd w:val="clear" w:color="auto" w:fill="FFFF00"/>
      <w:spacing w:lineRule="auto" w:line="240" w:beforeAutospacing="1" w:afterAutospacing="1"/>
      <w:ind w:hanging="0"/>
    </w:pPr>
    <w:rPr>
      <w:color w:val="000000"/>
      <w:sz w:val="24"/>
      <w:szCs w:val="24"/>
    </w:rPr>
  </w:style>
  <w:style w:type="paragraph" w:styleId="Xl90" w:customStyle="1">
    <w:name w:val="xl90"/>
    <w:basedOn w:val="Normal"/>
    <w:uiPriority w:val="99"/>
    <w:qFormat/>
    <w:rsid w:val="00f65c83"/>
    <w:pPr>
      <w:widowControl/>
      <w:pBdr>
        <w:bottom w:val="single" w:sz="8" w:space="0" w:color="000000"/>
        <w:right w:val="single" w:sz="8" w:space="0" w:color="000000"/>
      </w:pBdr>
      <w:shd w:val="clear" w:color="auto" w:fill="FFFF00"/>
      <w:spacing w:lineRule="auto" w:line="240" w:beforeAutospacing="1" w:afterAutospacing="1"/>
      <w:ind w:hanging="0"/>
    </w:pPr>
    <w:rPr>
      <w:color w:val="000000"/>
      <w:sz w:val="24"/>
      <w:szCs w:val="24"/>
    </w:rPr>
  </w:style>
  <w:style w:type="paragraph" w:styleId="Xl91" w:customStyle="1">
    <w:name w:val="xl91"/>
    <w:basedOn w:val="Normal"/>
    <w:uiPriority w:val="99"/>
    <w:qFormat/>
    <w:rsid w:val="00f65c83"/>
    <w:pPr>
      <w:widowControl/>
      <w:pBdr>
        <w:bottom w:val="single" w:sz="8" w:space="0" w:color="000000"/>
        <w:right w:val="single" w:sz="8" w:space="0" w:color="000000"/>
      </w:pBdr>
      <w:shd w:val="clear" w:color="auto" w:fill="FFFF00"/>
      <w:spacing w:lineRule="auto" w:line="240" w:beforeAutospacing="1" w:afterAutospacing="1"/>
      <w:ind w:hanging="0"/>
      <w:jc w:val="center"/>
    </w:pPr>
    <w:rPr>
      <w:color w:val="000000"/>
      <w:sz w:val="24"/>
      <w:szCs w:val="24"/>
    </w:rPr>
  </w:style>
  <w:style w:type="paragraph" w:styleId="Xl92" w:customStyle="1">
    <w:name w:val="xl92"/>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ind w:hanging="0"/>
      <w:jc w:val="center"/>
    </w:pPr>
    <w:rPr>
      <w:sz w:val="24"/>
      <w:szCs w:val="24"/>
    </w:rPr>
  </w:style>
  <w:style w:type="paragraph" w:styleId="Xl93" w:customStyle="1">
    <w:name w:val="xl93"/>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ind w:hanging="0"/>
      <w:jc w:val="center"/>
    </w:pPr>
    <w:rPr>
      <w:sz w:val="24"/>
      <w:szCs w:val="24"/>
    </w:rPr>
  </w:style>
  <w:style w:type="paragraph" w:styleId="Xl94" w:customStyle="1">
    <w:name w:val="xl94"/>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ind w:hanging="0"/>
      <w:jc w:val="center"/>
    </w:pPr>
    <w:rPr>
      <w:sz w:val="24"/>
      <w:szCs w:val="24"/>
    </w:rPr>
  </w:style>
  <w:style w:type="paragraph" w:styleId="Xl95" w:customStyle="1">
    <w:name w:val="xl95"/>
    <w:basedOn w:val="Normal"/>
    <w:uiPriority w:val="99"/>
    <w:qFormat/>
    <w:rsid w:val="00f65c83"/>
    <w:pPr>
      <w:widowControl/>
      <w:shd w:val="clear" w:color="auto" w:fill="FFFF00"/>
      <w:spacing w:lineRule="auto" w:line="240" w:beforeAutospacing="1" w:afterAutospacing="1"/>
      <w:ind w:hanging="0"/>
    </w:pPr>
    <w:rPr>
      <w:sz w:val="24"/>
      <w:szCs w:val="24"/>
    </w:rPr>
  </w:style>
  <w:style w:type="paragraph" w:styleId="Xl96" w:customStyle="1">
    <w:name w:val="xl96"/>
    <w:basedOn w:val="Normal"/>
    <w:uiPriority w:val="99"/>
    <w:qFormat/>
    <w:rsid w:val="00f65c83"/>
    <w:pPr>
      <w:widowControl/>
      <w:shd w:val="clear" w:color="auto" w:fill="00B0F0"/>
      <w:spacing w:lineRule="auto" w:line="240" w:beforeAutospacing="1" w:afterAutospacing="1"/>
      <w:ind w:hanging="0"/>
      <w:jc w:val="center"/>
    </w:pPr>
    <w:rPr>
      <w:sz w:val="20"/>
    </w:rPr>
  </w:style>
  <w:style w:type="paragraph" w:styleId="Xl97" w:customStyle="1">
    <w:name w:val="xl97"/>
    <w:basedOn w:val="Normal"/>
    <w:uiPriority w:val="99"/>
    <w:qFormat/>
    <w:rsid w:val="00f65c83"/>
    <w:pPr>
      <w:widowControl/>
      <w:spacing w:lineRule="auto" w:line="240" w:beforeAutospacing="1" w:afterAutospacing="1"/>
      <w:ind w:hanging="0"/>
    </w:pPr>
    <w:rPr>
      <w:rFonts w:ascii="Calibri" w:hAnsi="Calibri" w:cs="Calibri"/>
      <w:b/>
      <w:bCs/>
      <w:sz w:val="24"/>
      <w:szCs w:val="24"/>
    </w:rPr>
  </w:style>
  <w:style w:type="paragraph" w:styleId="Xl98" w:customStyle="1">
    <w:name w:val="xl98"/>
    <w:basedOn w:val="Normal"/>
    <w:uiPriority w:val="99"/>
    <w:qFormat/>
    <w:rsid w:val="00f65c83"/>
    <w:pPr>
      <w:widowControl/>
      <w:shd w:val="clear" w:color="auto" w:fill="FFFF00"/>
      <w:spacing w:lineRule="auto" w:line="240" w:beforeAutospacing="1" w:afterAutospacing="1"/>
      <w:ind w:hanging="0"/>
      <w:jc w:val="center"/>
    </w:pPr>
    <w:rPr>
      <w:sz w:val="20"/>
    </w:rPr>
  </w:style>
  <w:style w:type="paragraph" w:styleId="Xl99" w:customStyle="1">
    <w:name w:val="xl99"/>
    <w:basedOn w:val="Normal"/>
    <w:uiPriority w:val="99"/>
    <w:qFormat/>
    <w:rsid w:val="00f65c83"/>
    <w:pPr>
      <w:widowControl/>
      <w:pBdr>
        <w:top w:val="single" w:sz="8" w:space="0" w:color="000000"/>
        <w:left w:val="single" w:sz="8" w:space="7" w:color="000000"/>
        <w:right w:val="single" w:sz="8" w:space="0" w:color="000000"/>
      </w:pBdr>
      <w:shd w:val="clear" w:color="auto" w:fill="92D050"/>
      <w:spacing w:lineRule="auto" w:line="240" w:beforeAutospacing="1" w:afterAutospacing="1"/>
      <w:ind w:hanging="0"/>
    </w:pPr>
    <w:rPr>
      <w:color w:val="000000"/>
      <w:sz w:val="24"/>
      <w:szCs w:val="24"/>
    </w:rPr>
  </w:style>
  <w:style w:type="paragraph" w:styleId="Xl100" w:customStyle="1">
    <w:name w:val="xl100"/>
    <w:basedOn w:val="Normal"/>
    <w:uiPriority w:val="99"/>
    <w:qFormat/>
    <w:rsid w:val="00f65c83"/>
    <w:pPr>
      <w:widowControl/>
      <w:pBdr>
        <w:left w:val="single" w:sz="8" w:space="7" w:color="000000"/>
        <w:bottom w:val="single" w:sz="8" w:space="0" w:color="000000"/>
        <w:right w:val="single" w:sz="8" w:space="0" w:color="000000"/>
      </w:pBdr>
      <w:shd w:val="clear" w:color="auto" w:fill="92D050"/>
      <w:spacing w:lineRule="auto" w:line="240" w:beforeAutospacing="1" w:afterAutospacing="1"/>
      <w:ind w:hanging="0"/>
    </w:pPr>
    <w:rPr>
      <w:color w:val="000000"/>
      <w:sz w:val="24"/>
      <w:szCs w:val="24"/>
    </w:rPr>
  </w:style>
  <w:style w:type="paragraph" w:styleId="Xl101" w:customStyle="1">
    <w:name w:val="xl101"/>
    <w:basedOn w:val="Normal"/>
    <w:uiPriority w:val="99"/>
    <w:qFormat/>
    <w:rsid w:val="00f65c83"/>
    <w:pPr>
      <w:widowControl/>
      <w:pBdr>
        <w:top w:val="single" w:sz="8" w:space="0" w:color="000000"/>
        <w:left w:val="single" w:sz="8" w:space="0" w:color="000000"/>
        <w:right w:val="single" w:sz="8" w:space="0" w:color="000000"/>
      </w:pBdr>
      <w:shd w:val="clear" w:color="auto" w:fill="92D050"/>
      <w:spacing w:lineRule="auto" w:line="240" w:beforeAutospacing="1" w:afterAutospacing="1"/>
      <w:ind w:hanging="0"/>
      <w:jc w:val="center"/>
    </w:pPr>
    <w:rPr>
      <w:color w:val="000000"/>
      <w:sz w:val="24"/>
      <w:szCs w:val="24"/>
    </w:rPr>
  </w:style>
  <w:style w:type="paragraph" w:styleId="Xl102" w:customStyle="1">
    <w:name w:val="xl102"/>
    <w:basedOn w:val="Normal"/>
    <w:uiPriority w:val="99"/>
    <w:qFormat/>
    <w:rsid w:val="00f65c83"/>
    <w:pPr>
      <w:widowControl/>
      <w:pBdr>
        <w:left w:val="single" w:sz="8" w:space="0" w:color="000000"/>
        <w:bottom w:val="single" w:sz="8" w:space="0" w:color="000000"/>
        <w:right w:val="single" w:sz="8" w:space="0" w:color="000000"/>
      </w:pBdr>
      <w:shd w:val="clear" w:color="auto" w:fill="92D050"/>
      <w:spacing w:lineRule="auto" w:line="240" w:beforeAutospacing="1" w:afterAutospacing="1"/>
      <w:ind w:hanging="0"/>
      <w:jc w:val="center"/>
    </w:pPr>
    <w:rPr>
      <w:color w:val="000000"/>
      <w:sz w:val="24"/>
      <w:szCs w:val="24"/>
    </w:rPr>
  </w:style>
  <w:style w:type="paragraph" w:styleId="ConsPlusNormal" w:customStyle="1">
    <w:name w:val="ConsPlusNormal"/>
    <w:uiPriority w:val="99"/>
    <w:qFormat/>
    <w:rsid w:val="00ad3aa9"/>
    <w:pPr>
      <w:widowControl w:val="false"/>
      <w:bidi w:val="0"/>
      <w:jc w:val="left"/>
    </w:pPr>
    <w:rPr>
      <w:rFonts w:ascii="Calibri" w:hAnsi="Calibri" w:cs="Calibri" w:eastAsia="Times New Roman"/>
      <w:color w:val="auto"/>
      <w:kern w:val="0"/>
      <w:sz w:val="22"/>
      <w:szCs w:val="20"/>
      <w:lang w:val="ru-RU" w:eastAsia="ru-RU" w:bidi="ar-SA"/>
    </w:rPr>
  </w:style>
  <w:style w:type="paragraph" w:styleId="Western" w:customStyle="1">
    <w:name w:val="western"/>
    <w:basedOn w:val="Normal"/>
    <w:uiPriority w:val="99"/>
    <w:qFormat/>
    <w:rsid w:val="005f16d0"/>
    <w:pPr>
      <w:widowControl/>
      <w:spacing w:lineRule="auto" w:line="240" w:beforeAutospacing="1" w:afterAutospacing="1"/>
      <w:ind w:hanging="0"/>
    </w:pPr>
    <w:rPr>
      <w:sz w:val="24"/>
      <w:szCs w:val="24"/>
    </w:rPr>
  </w:style>
  <w:style w:type="paragraph" w:styleId="CharChar1" w:customStyle="1">
    <w:name w:val="Char Char1"/>
    <w:basedOn w:val="Normal"/>
    <w:uiPriority w:val="99"/>
    <w:qFormat/>
    <w:rsid w:val="004e1da6"/>
    <w:pPr>
      <w:widowControl/>
      <w:spacing w:lineRule="exact" w:line="240" w:before="0" w:after="160"/>
      <w:ind w:hanging="0"/>
    </w:pPr>
    <w:rPr>
      <w:rFonts w:ascii="Verdana" w:hAnsi="Verdana"/>
      <w:sz w:val="20"/>
      <w:lang w:val="en-US" w:eastAsia="en-US"/>
    </w:rPr>
  </w:style>
  <w:style w:type="paragraph" w:styleId="CharChar11" w:customStyle="1">
    <w:name w:val="Char Char11"/>
    <w:basedOn w:val="Normal"/>
    <w:uiPriority w:val="99"/>
    <w:qFormat/>
    <w:rsid w:val="00f06885"/>
    <w:pPr>
      <w:widowControl/>
      <w:spacing w:lineRule="exact" w:line="240" w:before="0" w:after="160"/>
      <w:ind w:hanging="0"/>
    </w:pPr>
    <w:rPr>
      <w:rFonts w:ascii="Verdana" w:hAnsi="Verdana"/>
      <w:sz w:val="20"/>
      <w:lang w:val="en-US" w:eastAsia="en-US"/>
    </w:rPr>
  </w:style>
  <w:style w:type="paragraph" w:styleId="29" w:customStyle="1">
    <w:name w:val="Основной текст (2)"/>
    <w:basedOn w:val="Normal"/>
    <w:link w:val="2a"/>
    <w:uiPriority w:val="99"/>
    <w:qFormat/>
    <w:rsid w:val="00453ec3"/>
    <w:pPr>
      <w:shd w:val="clear" w:color="auto" w:fill="FFFFFF"/>
      <w:spacing w:lineRule="exact" w:line="317"/>
      <w:ind w:firstLine="29"/>
    </w:pPr>
    <w:rPr>
      <w:sz w:val="28"/>
    </w:rPr>
  </w:style>
  <w:style w:type="paragraph" w:styleId="Default" w:customStyle="1">
    <w:name w:val="Default"/>
    <w:uiPriority w:val="99"/>
    <w:qFormat/>
    <w:rsid w:val="00ce35cb"/>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Style30">
    <w:name w:val="Footnote Text"/>
    <w:basedOn w:val="Normal"/>
    <w:link w:val="afc"/>
    <w:uiPriority w:val="99"/>
    <w:rsid w:val="0083334d"/>
    <w:pPr>
      <w:widowControl/>
      <w:spacing w:lineRule="auto" w:line="240"/>
      <w:ind w:hanging="0"/>
    </w:pPr>
    <w:rPr>
      <w:rFonts w:ascii="Calibri" w:hAnsi="Calibri"/>
      <w:sz w:val="20"/>
    </w:rPr>
  </w:style>
  <w:style w:type="paragraph" w:styleId="HTMLPreformatted">
    <w:name w:val="HTML Preformatted"/>
    <w:basedOn w:val="Normal"/>
    <w:link w:val="HTML"/>
    <w:uiPriority w:val="99"/>
    <w:qFormat/>
    <w:rsid w:val="00c761f1"/>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hanging="0"/>
    </w:pPr>
    <w:rPr>
      <w:rFonts w:ascii="Courier New" w:hAnsi="Courier New" w:cs="Courier New"/>
      <w:sz w:val="20"/>
    </w:rPr>
  </w:style>
  <w:style w:type="paragraph" w:styleId="33" w:customStyle="1">
    <w:name w:val="Основной текст3"/>
    <w:basedOn w:val="Normal"/>
    <w:uiPriority w:val="99"/>
    <w:qFormat/>
    <w:rsid w:val="00305f6d"/>
    <w:pPr>
      <w:widowControl/>
      <w:shd w:val="clear" w:color="auto" w:fill="FFFFFF"/>
      <w:spacing w:lineRule="atLeast" w:line="240"/>
      <w:ind w:hanging="0"/>
    </w:pPr>
    <w:rPr>
      <w:sz w:val="27"/>
    </w:rPr>
  </w:style>
  <w:style w:type="paragraph" w:styleId="62" w:customStyle="1">
    <w:name w:val="Основной текст (6)"/>
    <w:basedOn w:val="Normal"/>
    <w:uiPriority w:val="99"/>
    <w:qFormat/>
    <w:rsid w:val="008d15cb"/>
    <w:pPr>
      <w:suppressAutoHyphens w:val="true"/>
      <w:spacing w:lineRule="exact" w:line="322"/>
      <w:ind w:hanging="0"/>
      <w:jc w:val="both"/>
      <w:textAlignment w:val="baseline"/>
    </w:pPr>
    <w:rPr>
      <w:i/>
      <w:iCs/>
      <w:kern w:val="2"/>
      <w:sz w:val="28"/>
      <w:szCs w:val="28"/>
      <w:lang w:eastAsia="zh-CN"/>
    </w:rPr>
  </w:style>
  <w:style w:type="paragraph" w:styleId="211" w:customStyle="1">
    <w:name w:val="Основной текст (2)1"/>
    <w:basedOn w:val="Normal"/>
    <w:uiPriority w:val="99"/>
    <w:qFormat/>
    <w:rsid w:val="008d15cb"/>
    <w:pPr>
      <w:suppressAutoHyphens w:val="true"/>
      <w:spacing w:lineRule="atLeast" w:line="240"/>
      <w:ind w:hanging="300"/>
      <w:textAlignment w:val="baseline"/>
    </w:pPr>
    <w:rPr>
      <w:kern w:val="2"/>
      <w:sz w:val="28"/>
      <w:szCs w:val="28"/>
      <w:lang w:eastAsia="zh-CN"/>
    </w:rPr>
  </w:style>
  <w:style w:type="paragraph" w:styleId="BodyTextIndent2">
    <w:name w:val="Body Text Indent 2"/>
    <w:basedOn w:val="Normal"/>
    <w:link w:val="28"/>
    <w:uiPriority w:val="99"/>
    <w:qFormat/>
    <w:locked/>
    <w:rsid w:val="003f71c0"/>
    <w:pPr>
      <w:spacing w:lineRule="auto" w:line="480" w:before="0" w:after="120"/>
      <w:ind w:left="283" w:firstLine="560"/>
    </w:pPr>
    <w:rPr/>
  </w:style>
  <w:style w:type="paragraph" w:styleId="Msonormalcxspmiddle" w:customStyle="1">
    <w:name w:val="msonormalcxspmiddle"/>
    <w:basedOn w:val="Normal"/>
    <w:uiPriority w:val="99"/>
    <w:qFormat/>
    <w:rsid w:val="003f71c0"/>
    <w:pPr>
      <w:widowControl/>
      <w:spacing w:lineRule="auto" w:line="240" w:beforeAutospacing="1" w:afterAutospacing="1"/>
      <w:ind w:hanging="0"/>
    </w:pPr>
    <w:rPr>
      <w:sz w:val="24"/>
      <w:szCs w:val="24"/>
    </w:rPr>
  </w:style>
  <w:style w:type="paragraph" w:styleId="Msonormalcxsplast" w:customStyle="1">
    <w:name w:val="msonormalcxsplast"/>
    <w:basedOn w:val="Normal"/>
    <w:uiPriority w:val="99"/>
    <w:qFormat/>
    <w:rsid w:val="003f71c0"/>
    <w:pPr>
      <w:widowControl/>
      <w:spacing w:lineRule="auto" w:line="240" w:beforeAutospacing="1" w:afterAutospacing="1"/>
      <w:ind w:hanging="0"/>
    </w:pPr>
    <w:rPr>
      <w:sz w:val="24"/>
      <w:szCs w:val="24"/>
    </w:rPr>
  </w:style>
  <w:style w:type="paragraph" w:styleId="Style31"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9">
    <w:name w:val="Table Grid"/>
    <w:basedOn w:val="a1"/>
    <w:uiPriority w:val="99"/>
    <w:rsid w:val="002b36cc"/>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c">
    <w:name w:val="Стиль2"/>
    <w:basedOn w:val="affa"/>
    <w:uiPriority w:val="99"/>
    <w:rsid w:val="00395d6f"/>
    <w:pPr>
      <w:spacing w:after="200" w:line="276" w:lineRule="auto"/>
    </w:pPr>
    <w:tblStylePr w:type="firstRow">
      <w:rPr>
        <w:caps/>
        <w:color w:val="auto"/>
      </w:rPr>
      <w:tblPr/>
      <w:tcPr>
        <w:tcBorders>
          <w:tl2br w:val="none" w:color="auto" w:sz="0" w:space="0"/>
          <w:tr2bl w:val="none" w:color="auto" w:sz="0" w:space="0"/>
        </w:tcBorders>
      </w:tcPr>
    </w:tblStylePr>
  </w:style>
  <w:style w:type="table" w:styleId="affa">
    <w:name w:val="Table Elegant"/>
    <w:basedOn w:val="a1"/>
    <w:uiPriority w:val="99"/>
    <w:rsid w:val="00395d6f"/>
    <w:pPr>
      <w:spacing w:line="300" w:lineRule="auto"/>
    </w:pPr>
    <w:rPr>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byt@startatom.ru" TargetMode="External"/><Relationship Id="rId3" Type="http://schemas.openxmlformats.org/officeDocument/2006/relationships/hyperlink" Target="mailto:sbyt@startatom.ru" TargetMode="External"/><Relationship Id="rId4" Type="http://schemas.openxmlformats.org/officeDocument/2006/relationships/hyperlink" Target="mailto:sbyt@startatom.ru" TargetMode="External"/><Relationship Id="rId5" Type="http://schemas.openxmlformats.org/officeDocument/2006/relationships/hyperlink" Target="https://www.roseltorg.ru/" TargetMode="External"/><Relationship Id="rId6" Type="http://schemas.openxmlformats.org/officeDocument/2006/relationships/hyperlink" Target="http://www.torgi.gov.ru/" TargetMode="External"/><Relationship Id="rId7" Type="http://schemas.openxmlformats.org/officeDocument/2006/relationships/hyperlink" Target="mailto:sbyt@startatom.ru" TargetMode="External"/><Relationship Id="rId8" Type="http://schemas.openxmlformats.org/officeDocument/2006/relationships/hyperlink" Target="mailto:sbyt@startatom.ru" TargetMode="External"/><Relationship Id="rId9" Type="http://schemas.openxmlformats.org/officeDocument/2006/relationships/hyperlink" Target="mailto:sbyt@startatom.ru" TargetMode="External"/><Relationship Id="rId10" Type="http://schemas.openxmlformats.org/officeDocument/2006/relationships/hyperlink" Target="http://www.imf.ru/" TargetMode="External"/><Relationship Id="rId11" Type="http://schemas.openxmlformats.org/officeDocument/2006/relationships/hyperlink" Target="http://www.torgi.gov.ru/" TargetMode="External"/><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Application>LibreOffice/6.2.5.2$Windows_X86_64 LibreOffice_project/1ec314fa52f458adc18c4f025c545a4e8b22c159</Application>
  <Pages>14</Pages>
  <Words>3885</Words>
  <Characters>26500</Characters>
  <CharactersWithSpaces>30950</CharactersWithSpaces>
  <Paragraphs>260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2021-09-07T12:11:00Z</dcterms:created>
  <dc:creator>Администратор</dc:creator>
  <dc:description/>
  <dc:language>ru-RU</dc:language>
  <cp:lastModifiedBy>Александр Сергеевич Гранин</cp:lastModifiedBy>
  <cp:lastPrinted>2021-09-13T11:12:00Z</cp:lastPrinted>
  <dcterms:modified xsi:type="dcterms:W3CDTF">2021-09-22T07:26:00Z</dcterms:modified>
  <cp:revision>40</cp:revision>
  <dc:subject/>
  <dc:title>Министерство обороны Российской Федерации сообщает о проведении аукциона по продаже высвобождаемого движимого военного имущества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