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numPr>
          <w:ilvl w:val="0"/>
          <w:numId w:val="0"/>
        </w:numPr>
        <w:spacing w:lineRule="auto" w:line="240" w:before="225" w:after="225"/>
        <w:outlineLvl w:val="1"/>
        <w:rPr>
          <w:rFonts w:ascii="Arial" w:hAnsi="Arial" w:cs="Arial"/>
          <w:b/>
          <w:b/>
          <w:bCs/>
          <w:caps/>
          <w:color w:val="3A4551"/>
          <w:sz w:val="40"/>
          <w:szCs w:val="40"/>
          <w:lang w:eastAsia="ru-RU"/>
        </w:rPr>
      </w:pPr>
      <w:r>
        <w:rPr>
          <w:rFonts w:cs="Arial" w:ascii="Arial" w:hAnsi="Arial"/>
          <w:b/>
          <w:bCs/>
          <w:caps/>
          <w:color w:val="3A4551"/>
          <w:sz w:val="40"/>
          <w:szCs w:val="40"/>
          <w:lang w:eastAsia="ru-RU"/>
        </w:rPr>
        <w:t>АО "ФНПЦ "ПО "Старт" им. м.в. пРОЦЕНКО".</w:t>
      </w:r>
    </w:p>
    <w:p>
      <w:pPr>
        <w:pStyle w:val="Normal"/>
        <w:numPr>
          <w:ilvl w:val="0"/>
          <w:numId w:val="0"/>
        </w:numPr>
        <w:spacing w:lineRule="auto" w:line="240" w:before="225" w:after="225"/>
        <w:outlineLvl w:val="1"/>
        <w:rPr>
          <w:rFonts w:ascii="Arial" w:hAnsi="Arial" w:cs="Arial"/>
          <w:b/>
          <w:b/>
          <w:bCs/>
          <w:caps/>
          <w:color w:val="3A4551"/>
          <w:sz w:val="40"/>
          <w:szCs w:val="40"/>
          <w:lang w:eastAsia="ru-RU"/>
        </w:rPr>
      </w:pPr>
      <w:r>
        <w:rPr>
          <w:rFonts w:cs="Arial" w:ascii="Arial" w:hAnsi="Arial"/>
          <w:b/>
          <w:bCs/>
          <w:caps/>
          <w:color w:val="3A4551"/>
          <w:sz w:val="40"/>
          <w:szCs w:val="40"/>
          <w:lang w:eastAsia="ru-RU"/>
        </w:rPr>
        <w:t>РАСКРЫТИЕ ИНФОРМАЦИИ В СООТВЕТСТВИИ С ПОСТАНОВЛЕНИЕМ ПРАВИТЕЛЬСТВА РФ ОТ 21.01.2004Г. №24.</w:t>
      </w:r>
    </w:p>
    <w:p>
      <w:pPr>
        <w:pStyle w:val="Normal"/>
        <w:numPr>
          <w:ilvl w:val="0"/>
          <w:numId w:val="0"/>
        </w:numPr>
        <w:spacing w:lineRule="auto" w:line="240" w:before="225" w:after="225"/>
        <w:outlineLvl w:val="2"/>
        <w:rPr>
          <w:rFonts w:ascii="Arial" w:hAnsi="Arial" w:cs="Arial"/>
          <w:b/>
          <w:b/>
          <w:bCs/>
          <w:color w:val="1E1E1E"/>
          <w:sz w:val="30"/>
          <w:szCs w:val="30"/>
          <w:lang w:eastAsia="ru-RU"/>
        </w:rPr>
      </w:pPr>
      <w:r>
        <w:rPr>
          <w:rFonts w:cs="Arial" w:ascii="Arial" w:hAnsi="Arial"/>
          <w:b/>
          <w:bCs/>
          <w:color w:val="1E1E1E"/>
          <w:sz w:val="30"/>
          <w:szCs w:val="30"/>
          <w:lang w:eastAsia="ru-RU"/>
        </w:rPr>
        <w:t>Раскрытие информации 2022 год:</w:t>
      </w:r>
    </w:p>
    <w:tbl>
      <w:tblPr>
        <w:tblW w:w="14700" w:type="dxa"/>
        <w:jc w:val="left"/>
        <w:tblInd w:w="0" w:type="dxa"/>
        <w:tblCellMar>
          <w:top w:w="150" w:type="dxa"/>
          <w:left w:w="300" w:type="dxa"/>
          <w:bottom w:w="150" w:type="dxa"/>
          <w:right w:w="300" w:type="dxa"/>
        </w:tblCellMar>
        <w:tblLook w:val="00a0"/>
      </w:tblPr>
      <w:tblGrid>
        <w:gridCol w:w="839"/>
        <w:gridCol w:w="1260"/>
        <w:gridCol w:w="1079"/>
        <w:gridCol w:w="1"/>
        <w:gridCol w:w="3778"/>
        <w:gridCol w:w="1"/>
        <w:gridCol w:w="5140"/>
        <w:gridCol w:w="78"/>
        <w:gridCol w:w="1"/>
        <w:gridCol w:w="2522"/>
      </w:tblGrid>
      <w:tr>
        <w:trPr/>
        <w:tc>
          <w:tcPr>
            <w:tcW w:w="3179" w:type="dxa"/>
            <w:gridSpan w:val="4"/>
            <w:tcBorders>
              <w:top w:val="single" w:sz="6" w:space="0" w:color="FFFFFF"/>
              <w:right w:val="single" w:sz="18" w:space="0" w:color="FFFFFF"/>
            </w:tcBorders>
            <w:shd w:color="auto" w:fill="FBC90B" w:val="clear"/>
            <w:vAlign w:val="center"/>
          </w:tcPr>
          <w:p>
            <w:pPr>
              <w:pStyle w:val="Normal"/>
              <w:spacing w:lineRule="auto" w:line="240" w:before="0" w:after="0"/>
              <w:rPr>
                <w:rFonts w:ascii="Times New Roman" w:hAnsi="Times New Roman"/>
                <w:sz w:val="21"/>
                <w:szCs w:val="21"/>
                <w:lang w:eastAsia="ru-RU"/>
              </w:rPr>
            </w:pPr>
            <w:r>
              <w:rPr>
                <w:rFonts w:cs="Arial" w:ascii="Arial" w:hAnsi="Arial"/>
                <w:color w:val="1E1E1E"/>
                <w:sz w:val="24"/>
                <w:szCs w:val="24"/>
                <w:lang w:eastAsia="ru-RU"/>
              </w:rPr>
              <w:t> </w:t>
            </w:r>
            <w:r>
              <w:rPr>
                <w:rFonts w:ascii="Times New Roman" w:hAnsi="Times New Roman"/>
                <w:sz w:val="21"/>
                <w:szCs w:val="21"/>
                <w:lang w:eastAsia="ru-RU"/>
              </w:rPr>
              <w:t>Постановление №2</w:t>
            </w:r>
          </w:p>
        </w:tc>
        <w:tc>
          <w:tcPr>
            <w:tcW w:w="3779" w:type="dxa"/>
            <w:gridSpan w:val="2"/>
            <w:vMerge w:val="restart"/>
            <w:tcBorders>
              <w:top w:val="single" w:sz="6" w:space="0" w:color="FFFFFF"/>
              <w:right w:val="single" w:sz="18" w:space="0" w:color="FFFFFF"/>
            </w:tcBorders>
            <w:shd w:color="auto" w:fill="FBC90B" w:val="clear"/>
            <w:vAlign w:val="center"/>
          </w:tcPr>
          <w:p>
            <w:pPr>
              <w:pStyle w:val="Normal"/>
              <w:spacing w:lineRule="auto" w:line="240" w:before="0" w:after="0"/>
              <w:jc w:val="center"/>
              <w:rPr>
                <w:rFonts w:ascii="Times New Roman" w:hAnsi="Times New Roman"/>
                <w:sz w:val="21"/>
                <w:szCs w:val="21"/>
                <w:lang w:eastAsia="ru-RU"/>
              </w:rPr>
            </w:pPr>
            <w:r>
              <w:rPr>
                <w:rFonts w:ascii="Times New Roman" w:hAnsi="Times New Roman"/>
                <w:sz w:val="21"/>
                <w:szCs w:val="21"/>
                <w:lang w:eastAsia="ru-RU"/>
              </w:rPr>
              <w:t>Периодичность и срок раскрытия информации</w:t>
            </w:r>
          </w:p>
        </w:tc>
        <w:tc>
          <w:tcPr>
            <w:tcW w:w="5219" w:type="dxa"/>
            <w:gridSpan w:val="3"/>
            <w:vMerge w:val="restart"/>
            <w:tcBorders>
              <w:top w:val="single" w:sz="6" w:space="0" w:color="FFFFFF"/>
              <w:right w:val="single" w:sz="18" w:space="0" w:color="FFFFFF"/>
            </w:tcBorders>
            <w:shd w:color="auto" w:fill="FBC90B" w:val="clear"/>
            <w:vAlign w:val="center"/>
          </w:tcPr>
          <w:p>
            <w:pPr>
              <w:pStyle w:val="Normal"/>
              <w:spacing w:lineRule="auto" w:line="240" w:before="0" w:after="0"/>
              <w:jc w:val="center"/>
              <w:rPr>
                <w:rFonts w:ascii="Times New Roman" w:hAnsi="Times New Roman"/>
                <w:sz w:val="21"/>
                <w:szCs w:val="21"/>
                <w:lang w:eastAsia="ru-RU"/>
              </w:rPr>
            </w:pPr>
            <w:r>
              <w:rPr>
                <w:rFonts w:ascii="Times New Roman" w:hAnsi="Times New Roman"/>
                <w:sz w:val="21"/>
                <w:szCs w:val="21"/>
                <w:lang w:eastAsia="ru-RU"/>
              </w:rPr>
              <w:t>Содержание</w:t>
            </w:r>
          </w:p>
        </w:tc>
        <w:tc>
          <w:tcPr>
            <w:tcW w:w="2522" w:type="dxa"/>
            <w:vMerge w:val="restart"/>
            <w:tcBorders>
              <w:top w:val="single" w:sz="6" w:space="0" w:color="FFFFFF"/>
            </w:tcBorders>
            <w:shd w:color="auto" w:fill="FBC90B" w:val="clear"/>
            <w:vAlign w:val="center"/>
          </w:tcPr>
          <w:p>
            <w:pPr>
              <w:pStyle w:val="Normal"/>
              <w:spacing w:lineRule="auto" w:line="240" w:before="0" w:after="0"/>
              <w:jc w:val="center"/>
              <w:rPr/>
            </w:pPr>
            <w:r>
              <w:rPr>
                <w:rFonts w:ascii="Times New Roman" w:hAnsi="Times New Roman"/>
                <w:sz w:val="21"/>
                <w:szCs w:val="21"/>
                <w:lang w:val="ru-RU" w:eastAsia="ru-RU"/>
              </w:rPr>
              <w:t>Файл для просмотра в Приложении</w:t>
            </w:r>
          </w:p>
        </w:tc>
      </w:tr>
      <w:tr>
        <w:trPr/>
        <w:tc>
          <w:tcPr>
            <w:tcW w:w="839" w:type="dxa"/>
            <w:tcBorders>
              <w:top w:val="single" w:sz="6" w:space="0" w:color="FFFFFF"/>
              <w:right w:val="single" w:sz="18" w:space="0" w:color="FFFFFF"/>
            </w:tcBorders>
            <w:shd w:color="auto" w:fill="FBC90B" w:val="clear"/>
            <w:tcMar>
              <w:top w:w="57" w:type="dxa"/>
              <w:left w:w="57" w:type="dxa"/>
              <w:bottom w:w="57" w:type="dxa"/>
              <w:right w:w="57" w:type="dxa"/>
            </w:tcMar>
            <w:vAlign w:val="center"/>
          </w:tcPr>
          <w:p>
            <w:pPr>
              <w:pStyle w:val="Normal"/>
              <w:spacing w:lineRule="auto" w:line="240" w:before="0" w:after="0"/>
              <w:jc w:val="center"/>
              <w:rPr>
                <w:rFonts w:ascii="Times New Roman" w:hAnsi="Times New Roman"/>
                <w:sz w:val="21"/>
                <w:szCs w:val="21"/>
                <w:lang w:eastAsia="ru-RU"/>
              </w:rPr>
            </w:pPr>
            <w:r>
              <w:rPr>
                <w:rFonts w:ascii="Times New Roman" w:hAnsi="Times New Roman"/>
                <w:sz w:val="21"/>
                <w:szCs w:val="21"/>
                <w:lang w:eastAsia="ru-RU"/>
              </w:rPr>
              <w:t>Пункт</w:t>
            </w:r>
          </w:p>
        </w:tc>
        <w:tc>
          <w:tcPr>
            <w:tcW w:w="1260" w:type="dxa"/>
            <w:tcBorders>
              <w:top w:val="single" w:sz="6" w:space="0" w:color="FFFFFF"/>
              <w:right w:val="single" w:sz="18" w:space="0" w:color="FFFFFF"/>
            </w:tcBorders>
            <w:shd w:color="auto" w:fill="FBC90B" w:val="clear"/>
            <w:tcMar>
              <w:top w:w="57" w:type="dxa"/>
              <w:left w:w="57" w:type="dxa"/>
              <w:bottom w:w="57" w:type="dxa"/>
              <w:right w:w="57" w:type="dxa"/>
            </w:tcMar>
            <w:vAlign w:val="center"/>
          </w:tcPr>
          <w:p>
            <w:pPr>
              <w:pStyle w:val="Normal"/>
              <w:spacing w:lineRule="auto" w:line="240" w:before="0" w:after="0"/>
              <w:jc w:val="center"/>
              <w:rPr>
                <w:rFonts w:ascii="Times New Roman" w:hAnsi="Times New Roman"/>
                <w:sz w:val="21"/>
                <w:szCs w:val="21"/>
                <w:lang w:eastAsia="ru-RU"/>
              </w:rPr>
            </w:pPr>
            <w:r>
              <w:rPr>
                <w:rFonts w:ascii="Times New Roman" w:hAnsi="Times New Roman"/>
                <w:sz w:val="21"/>
                <w:szCs w:val="21"/>
                <w:lang w:eastAsia="ru-RU"/>
              </w:rPr>
              <w:t>Подпункт</w:t>
            </w:r>
          </w:p>
        </w:tc>
        <w:tc>
          <w:tcPr>
            <w:tcW w:w="1079" w:type="dxa"/>
            <w:tcBorders>
              <w:top w:val="single" w:sz="6" w:space="0" w:color="FFFFFF"/>
            </w:tcBorders>
            <w:shd w:color="auto" w:fill="FBC90B" w:val="clear"/>
            <w:tcMar>
              <w:top w:w="57" w:type="dxa"/>
              <w:left w:w="57" w:type="dxa"/>
              <w:bottom w:w="57" w:type="dxa"/>
              <w:right w:w="57" w:type="dxa"/>
            </w:tcMar>
            <w:vAlign w:val="center"/>
          </w:tcPr>
          <w:p>
            <w:pPr>
              <w:pStyle w:val="Normal"/>
              <w:spacing w:lineRule="auto" w:line="240" w:before="0" w:after="0"/>
              <w:jc w:val="center"/>
              <w:rPr>
                <w:rFonts w:ascii="Times New Roman" w:hAnsi="Times New Roman"/>
                <w:sz w:val="21"/>
                <w:szCs w:val="21"/>
                <w:lang w:eastAsia="ru-RU"/>
              </w:rPr>
            </w:pPr>
            <w:r>
              <w:rPr>
                <w:rFonts w:ascii="Times New Roman" w:hAnsi="Times New Roman"/>
                <w:sz w:val="21"/>
                <w:szCs w:val="21"/>
                <w:lang w:eastAsia="ru-RU"/>
              </w:rPr>
              <w:t>Абзац</w:t>
            </w:r>
          </w:p>
        </w:tc>
        <w:tc>
          <w:tcPr>
            <w:tcW w:w="3779" w:type="dxa"/>
            <w:gridSpan w:val="2"/>
            <w:vMerge w:val="continue"/>
            <w:tcBorders>
              <w:top w:val="single" w:sz="6" w:space="0" w:color="FFFFFF"/>
              <w:right w:val="single" w:sz="18" w:space="0" w:color="FFFFFF"/>
            </w:tcBorders>
            <w:shd w:fill="auto" w:val="clear"/>
            <w:tcMar>
              <w:top w:w="0" w:type="dxa"/>
              <w:left w:w="0" w:type="dxa"/>
              <w:bottom w:w="0" w:type="dxa"/>
              <w:right w:w="22" w:type="dxa"/>
            </w:tcMar>
            <w:vAlign w:val="center"/>
          </w:tcPr>
          <w:p>
            <w:pPr>
              <w:pStyle w:val="Normal"/>
              <w:spacing w:lineRule="auto" w:line="240" w:before="0" w:after="0"/>
              <w:rPr>
                <w:rFonts w:ascii="Times New Roman" w:hAnsi="Times New Roman"/>
                <w:sz w:val="21"/>
                <w:szCs w:val="21"/>
                <w:lang w:eastAsia="ru-RU"/>
              </w:rPr>
            </w:pPr>
            <w:r>
              <w:rPr>
                <w:rFonts w:ascii="Times New Roman" w:hAnsi="Times New Roman"/>
                <w:sz w:val="21"/>
                <w:szCs w:val="21"/>
                <w:lang w:eastAsia="ru-RU"/>
              </w:rPr>
            </w:r>
          </w:p>
        </w:tc>
        <w:tc>
          <w:tcPr>
            <w:tcW w:w="5219" w:type="dxa"/>
            <w:gridSpan w:val="3"/>
            <w:vMerge w:val="continue"/>
            <w:tcBorders>
              <w:top w:val="single" w:sz="6" w:space="0" w:color="FFFFFF"/>
              <w:right w:val="single" w:sz="18" w:space="0" w:color="FFFFFF"/>
            </w:tcBorders>
            <w:shd w:fill="auto" w:val="clear"/>
            <w:tcMar>
              <w:top w:w="0" w:type="dxa"/>
              <w:left w:w="0" w:type="dxa"/>
              <w:bottom w:w="0" w:type="dxa"/>
              <w:right w:w="22" w:type="dxa"/>
            </w:tcMar>
            <w:vAlign w:val="center"/>
          </w:tcPr>
          <w:p>
            <w:pPr>
              <w:pStyle w:val="Normal"/>
              <w:spacing w:lineRule="auto" w:line="240" w:before="0" w:after="0"/>
              <w:rPr>
                <w:rFonts w:ascii="Times New Roman" w:hAnsi="Times New Roman"/>
                <w:sz w:val="21"/>
                <w:szCs w:val="21"/>
                <w:lang w:eastAsia="ru-RU"/>
              </w:rPr>
            </w:pPr>
            <w:r>
              <w:rPr>
                <w:rFonts w:ascii="Times New Roman" w:hAnsi="Times New Roman"/>
                <w:sz w:val="21"/>
                <w:szCs w:val="21"/>
                <w:lang w:eastAsia="ru-RU"/>
              </w:rPr>
            </w:r>
          </w:p>
        </w:tc>
        <w:tc>
          <w:tcPr>
            <w:tcW w:w="2523" w:type="dxa"/>
            <w:gridSpan w:val="2"/>
            <w:vMerge w:val="continue"/>
            <w:tcBorders>
              <w:top w:val="single" w:sz="6" w:space="0" w:color="FFFFFF"/>
            </w:tcBorders>
            <w:shd w:fill="auto" w:val="clear"/>
            <w:tcMar>
              <w:top w:w="0" w:type="dxa"/>
              <w:left w:w="0" w:type="dxa"/>
              <w:bottom w:w="0" w:type="dxa"/>
              <w:right w:w="22" w:type="dxa"/>
            </w:tcMar>
            <w:vAlign w:val="center"/>
          </w:tcPr>
          <w:p>
            <w:pPr>
              <w:pStyle w:val="Normal"/>
              <w:spacing w:lineRule="auto" w:line="240" w:before="0" w:after="0"/>
              <w:rPr>
                <w:rFonts w:ascii="Times New Roman" w:hAnsi="Times New Roman"/>
                <w:sz w:val="21"/>
                <w:szCs w:val="21"/>
                <w:lang w:eastAsia="ru-RU"/>
              </w:rPr>
            </w:pPr>
            <w:r>
              <w:rPr>
                <w:rFonts w:ascii="Times New Roman" w:hAnsi="Times New Roman"/>
                <w:sz w:val="21"/>
                <w:szCs w:val="21"/>
                <w:lang w:eastAsia="ru-RU"/>
              </w:rPr>
            </w:r>
          </w:p>
        </w:tc>
      </w:tr>
      <w:tr>
        <w:trPr/>
        <w:tc>
          <w:tcPr>
            <w:tcW w:w="839" w:type="dxa"/>
            <w:tcBorders>
              <w:left w:val="single" w:sz="6" w:space="0" w:color="E9ECF1"/>
            </w:tcBorders>
            <w:shd w:color="auto" w:fill="FFFFFF" w:val="clear"/>
            <w:tcMar>
              <w:top w:w="0" w:type="dxa"/>
              <w:bottom w:w="0" w:type="dxa"/>
            </w:tcMar>
            <w:vAlign w:val="cente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t>19</w:t>
            </w:r>
          </w:p>
        </w:tc>
        <w:tc>
          <w:tcPr>
            <w:tcW w:w="1260" w:type="dxa"/>
            <w:tcBorders/>
            <w:shd w:color="auto" w:fill="FFFFFF" w:val="clear"/>
            <w:tcMar>
              <w:top w:w="0" w:type="dxa"/>
              <w:bottom w:w="0" w:type="dxa"/>
            </w:tcMar>
            <w:vAlign w:val="cente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t>а</w:t>
            </w:r>
          </w:p>
        </w:tc>
        <w:tc>
          <w:tcPr>
            <w:tcW w:w="1079" w:type="dxa"/>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3779" w:type="dxa"/>
            <w:gridSpan w:val="2"/>
            <w:tcBorders/>
            <w:shd w:color="auto" w:fill="FFFFFF" w:val="clear"/>
            <w:tcMar>
              <w:top w:w="57" w:type="dxa"/>
              <w:left w:w="57" w:type="dxa"/>
              <w:bottom w:w="57" w:type="dxa"/>
              <w:right w:w="57"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ежегодно, до 1 марта</w:t>
            </w:r>
          </w:p>
        </w:tc>
        <w:tc>
          <w:tcPr>
            <w:tcW w:w="5219" w:type="dxa"/>
            <w:gridSpan w:val="3"/>
            <w:tcBorders/>
            <w:shd w:color="auto" w:fill="FFFFFF" w:val="clear"/>
            <w:tcMar>
              <w:left w:w="0" w:type="dxa"/>
              <w:right w:w="22"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19 а) о ценах (тарифах) на товары (работы, услуги) субъектов естественных монополий, в отношении которых применяется государственное регулирование (далее - регулируемые товары (работы, услуги)), включая информацию о тарифах на услуги по передаче электрической энергии и размерах платы за технологическое присоединение к электрическим сетям на текущий период регулирования, с указанием источника официального опубликования решения регулирующего органа об установлении тарифов;</w:t>
            </w:r>
          </w:p>
        </w:tc>
        <w:tc>
          <w:tcPr>
            <w:tcW w:w="2523" w:type="dxa"/>
            <w:gridSpan w:val="2"/>
            <w:tcBorders>
              <w:right w:val="single" w:sz="6" w:space="0" w:color="E9ECF1"/>
            </w:tcBorders>
            <w:shd w:color="auto" w:fill="FFFFFF" w:val="clear"/>
            <w:vAlign w:val="center"/>
          </w:tcPr>
          <w:p>
            <w:pPr>
              <w:pStyle w:val="Normal"/>
              <w:spacing w:lineRule="auto" w:line="240" w:before="0" w:after="0"/>
              <w:rPr>
                <w:b/>
                <w:b/>
              </w:rPr>
            </w:pPr>
            <w:r>
              <w:rPr>
                <w:b/>
              </w:rPr>
              <w:t>Файл 19 А1</w:t>
            </w:r>
          </w:p>
          <w:p>
            <w:pPr>
              <w:pStyle w:val="Normal"/>
              <w:spacing w:lineRule="auto" w:line="240" w:before="0" w:after="0"/>
              <w:rPr>
                <w:b/>
                <w:b/>
                <w:color w:val="0000FF"/>
              </w:rPr>
            </w:pPr>
            <w:r>
              <w:rPr>
                <w:b/>
              </w:rPr>
              <w:t>Файл 19 А2</w:t>
            </w:r>
            <w:r>
              <w:rPr>
                <w:b/>
                <w:color w:val="0000FF"/>
              </w:rPr>
              <w:t xml:space="preserve"> </w:t>
            </w:r>
          </w:p>
          <w:p>
            <w:pPr>
              <w:pStyle w:val="Normal"/>
              <w:spacing w:lineRule="auto" w:line="240" w:before="0" w:after="0"/>
              <w:rPr>
                <w:b/>
                <w:b/>
              </w:rPr>
            </w:pPr>
            <w:r>
              <w:rPr>
                <w:b/>
              </w:rPr>
              <w:t>Файл 19 А3</w:t>
            </w:r>
          </w:p>
          <w:p>
            <w:pPr>
              <w:pStyle w:val="Normal"/>
              <w:spacing w:lineRule="auto" w:line="240" w:before="0" w:after="0"/>
              <w:rPr>
                <w:rFonts w:ascii="Times New Roman" w:hAnsi="Times New Roman"/>
                <w:sz w:val="20"/>
                <w:szCs w:val="20"/>
                <w:lang w:eastAsia="ru-RU"/>
              </w:rPr>
            </w:pPr>
            <w:r>
              <w:rPr>
                <w:rFonts w:ascii="Times New Roman" w:hAnsi="Times New Roman"/>
                <w:b/>
                <w:sz w:val="20"/>
                <w:szCs w:val="20"/>
                <w:lang w:eastAsia="ru-RU"/>
              </w:rPr>
              <w:t>Файл  19 А4</w:t>
            </w:r>
          </w:p>
        </w:tc>
      </w:tr>
      <w:tr>
        <w:trPr/>
        <w:tc>
          <w:tcPr>
            <w:tcW w:w="839" w:type="dxa"/>
            <w:tcBorders>
              <w:left w:val="single" w:sz="6" w:space="0" w:color="E9ECF1"/>
            </w:tcBorders>
            <w:shd w:color="auto" w:fill="FFFFFF" w:val="clear"/>
            <w:tcMar>
              <w:top w:w="0" w:type="dxa"/>
              <w:bottom w:w="0" w:type="dxa"/>
            </w:tcMar>
            <w:vAlign w:val="cente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t>19</w:t>
            </w:r>
          </w:p>
        </w:tc>
        <w:tc>
          <w:tcPr>
            <w:tcW w:w="1260" w:type="dxa"/>
            <w:tcBorders/>
            <w:shd w:color="auto" w:fill="FFFFFF" w:val="clear"/>
            <w:tcMar>
              <w:top w:w="0" w:type="dxa"/>
              <w:bottom w:w="0" w:type="dxa"/>
            </w:tcMar>
            <w:vAlign w:val="cente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t>б</w:t>
            </w:r>
          </w:p>
        </w:tc>
        <w:tc>
          <w:tcPr>
            <w:tcW w:w="1079" w:type="dxa"/>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3779" w:type="dxa"/>
            <w:gridSpan w:val="2"/>
            <w:tcBorders/>
            <w:shd w:color="auto" w:fill="FFFFFF" w:val="clear"/>
            <w:tcMar>
              <w:top w:w="57" w:type="dxa"/>
              <w:left w:w="57" w:type="dxa"/>
              <w:bottom w:w="57" w:type="dxa"/>
              <w:right w:w="57"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в течение 5 рабочих дней со дня поступления в сетевую организацию решения регулирующего органа об установлении тарифов</w:t>
            </w:r>
          </w:p>
        </w:tc>
        <w:tc>
          <w:tcPr>
            <w:tcW w:w="5219" w:type="dxa"/>
            <w:gridSpan w:val="3"/>
            <w:tcBorders/>
            <w:shd w:color="auto" w:fill="FFFFFF" w:val="clear"/>
            <w:tcMar>
              <w:left w:w="0" w:type="dxa"/>
              <w:right w:w="22"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19 б ) о расходах, связанных с осуществлением технологического присоединения, не включаемых в плату за технологическое присоединение (и подлежащих учету (учтенных) в тарифах на услуги по передаче электрической энергии), с указанием источника официального опубликования решения регулирующего органа об установлении тарифов, содержащего информацию о размере таких расходов</w:t>
            </w:r>
          </w:p>
        </w:tc>
        <w:tc>
          <w:tcPr>
            <w:tcW w:w="2523" w:type="dxa"/>
            <w:gridSpan w:val="2"/>
            <w:tcBorders>
              <w:right w:val="single" w:sz="6" w:space="0" w:color="E9ECF1"/>
            </w:tcBorders>
            <w:shd w:color="auto" w:fill="FFFFFF" w:val="clear"/>
            <w:vAlign w:val="center"/>
          </w:tcPr>
          <w:p>
            <w:pPr>
              <w:pStyle w:val="Normal"/>
              <w:spacing w:lineRule="auto" w:line="240" w:before="0" w:after="0"/>
              <w:rPr>
                <w:rFonts w:ascii="Times New Roman" w:hAnsi="Times New Roman"/>
                <w:b/>
                <w:b/>
                <w:color w:val="0000FF"/>
                <w:sz w:val="20"/>
                <w:szCs w:val="20"/>
                <w:lang w:eastAsia="ru-RU"/>
              </w:rPr>
            </w:pPr>
            <w:r>
              <w:rPr>
                <w:b/>
              </w:rPr>
              <w:t>Файл 19 Б</w:t>
            </w:r>
          </w:p>
        </w:tc>
      </w:tr>
      <w:tr>
        <w:trPr/>
        <w:tc>
          <w:tcPr>
            <w:tcW w:w="839" w:type="dxa"/>
            <w:tcBorders>
              <w:left w:val="single" w:sz="6" w:space="0" w:color="E9ECF1"/>
            </w:tcBorders>
            <w:shd w:color="auto" w:fill="FFFFFF" w:val="clear"/>
            <w:tcMar>
              <w:top w:w="0" w:type="dxa"/>
              <w:bottom w:w="0" w:type="dxa"/>
            </w:tcMar>
            <w:vAlign w:val="cente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t>19</w:t>
            </w:r>
          </w:p>
        </w:tc>
        <w:tc>
          <w:tcPr>
            <w:tcW w:w="1260" w:type="dxa"/>
            <w:tcBorders/>
            <w:shd w:color="auto" w:fill="FFFFFF" w:val="clear"/>
            <w:tcMar>
              <w:top w:w="0" w:type="dxa"/>
              <w:bottom w:w="0" w:type="dxa"/>
            </w:tcMar>
            <w:vAlign w:val="cente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t>в</w:t>
            </w:r>
          </w:p>
        </w:tc>
        <w:tc>
          <w:tcPr>
            <w:tcW w:w="1079" w:type="dxa"/>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3779" w:type="dxa"/>
            <w:gridSpan w:val="2"/>
            <w:tcBorders/>
            <w:shd w:color="auto" w:fill="FFFFFF" w:val="clear"/>
            <w:tcMar>
              <w:top w:w="57" w:type="dxa"/>
              <w:left w:w="57" w:type="dxa"/>
              <w:bottom w:w="57" w:type="dxa"/>
              <w:right w:w="57"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За 10 дней до предоставления в регулирующий орган  сведений о соответствующих расходах для целей технологических присоединений.</w:t>
            </w:r>
          </w:p>
        </w:tc>
        <w:tc>
          <w:tcPr>
            <w:tcW w:w="5219" w:type="dxa"/>
            <w:gridSpan w:val="3"/>
            <w:tcBorders/>
            <w:shd w:color="auto" w:fill="FFFFFF" w:val="clear"/>
            <w:tcMar>
              <w:left w:w="0" w:type="dxa"/>
              <w:right w:w="22"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xml:space="preserve">19 в)  ) о расходах на строительство введенных в эксплуатацию объектов электросетевого хозяйства для целей технологического присоединения и реализации иных мероприятий инвестиционной программы, на подготовку и выдачу сетевой организацией технических условий и их согласование с системным оператором (субъектом оперативно-диспетчерского управления в технологически изолированных территориальных электроэнергетических системах), на проверку сетевой организацией выполнения заявителем технических условий в соответствии с разделом IX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 декабря 2004 г. N 861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(далее - Правила технологического присоединения); </w:t>
            </w:r>
          </w:p>
        </w:tc>
        <w:tc>
          <w:tcPr>
            <w:tcW w:w="2523" w:type="dxa"/>
            <w:gridSpan w:val="2"/>
            <w:tcBorders>
              <w:right w:val="single" w:sz="6" w:space="0" w:color="E9ECF1"/>
            </w:tcBorders>
            <w:shd w:color="auto" w:fill="FFFFFF" w:val="clear"/>
            <w:vAlign w:val="center"/>
          </w:tcPr>
          <w:p>
            <w:pPr>
              <w:pStyle w:val="Normal"/>
              <w:spacing w:lineRule="auto" w:line="240" w:before="0" w:after="0"/>
              <w:rPr>
                <w:rFonts w:ascii="Times New Roman" w:hAnsi="Times New Roman"/>
                <w:b/>
                <w:b/>
                <w:color w:val="0000FF"/>
                <w:sz w:val="20"/>
                <w:szCs w:val="20"/>
                <w:lang w:eastAsia="ru-RU"/>
              </w:rPr>
            </w:pPr>
            <w:r>
              <w:rPr>
                <w:b/>
              </w:rPr>
              <w:t>Файл 19 В</w:t>
            </w:r>
          </w:p>
        </w:tc>
      </w:tr>
      <w:tr>
        <w:trPr/>
        <w:tc>
          <w:tcPr>
            <w:tcW w:w="839" w:type="dxa"/>
            <w:tcBorders>
              <w:left w:val="single" w:sz="6" w:space="0" w:color="E9ECF1"/>
            </w:tcBorders>
            <w:shd w:color="auto" w:fill="FFFFFF" w:val="clear"/>
            <w:tcMar>
              <w:top w:w="0" w:type="dxa"/>
              <w:bottom w:w="0" w:type="dxa"/>
            </w:tcMar>
            <w:vAlign w:val="cente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t>19</w:t>
            </w:r>
          </w:p>
        </w:tc>
        <w:tc>
          <w:tcPr>
            <w:tcW w:w="1260" w:type="dxa"/>
            <w:tcBorders/>
            <w:shd w:color="auto" w:fill="FFFFFF" w:val="clear"/>
            <w:tcMar>
              <w:top w:w="0" w:type="dxa"/>
              <w:bottom w:w="0" w:type="dxa"/>
            </w:tcMar>
            <w:vAlign w:val="cente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t>г</w:t>
            </w:r>
          </w:p>
        </w:tc>
        <w:tc>
          <w:tcPr>
            <w:tcW w:w="1079" w:type="dxa"/>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1</w:t>
            </w:r>
          </w:p>
        </w:tc>
        <w:tc>
          <w:tcPr>
            <w:tcW w:w="3779" w:type="dxa"/>
            <w:gridSpan w:val="2"/>
            <w:tcBorders/>
            <w:shd w:color="auto" w:fill="FFFFFF" w:val="clear"/>
            <w:tcMar>
              <w:top w:w="57" w:type="dxa"/>
              <w:left w:w="57" w:type="dxa"/>
              <w:bottom w:w="57" w:type="dxa"/>
              <w:right w:w="57"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r>
              <w:rPr>
                <w:rFonts w:ascii="Times New Roman" w:hAnsi="Times New Roman"/>
                <w:sz w:val="20"/>
                <w:szCs w:val="20"/>
                <w:lang w:eastAsia="ru-RU"/>
              </w:rPr>
              <w:t>ежегодно, до 1 марта</w:t>
            </w:r>
          </w:p>
        </w:tc>
        <w:tc>
          <w:tcPr>
            <w:tcW w:w="7742" w:type="dxa"/>
            <w:gridSpan w:val="5"/>
            <w:tcBorders>
              <w:right w:val="single" w:sz="6" w:space="0" w:color="E9ECF1"/>
            </w:tcBorders>
            <w:shd w:color="auto" w:fill="FFFFFF" w:val="clear"/>
            <w:tcMar>
              <w:left w:w="0" w:type="dxa"/>
              <w:right w:w="22"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19 г) об основных потребительских характеристиках регулируемых товаров, работ и  услуг субъектов естественных монополий и их соответствии государственным и иным утвержденным стандартам качества, включая информацию:</w:t>
            </w:r>
          </w:p>
        </w:tc>
      </w:tr>
      <w:tr>
        <w:trPr/>
        <w:tc>
          <w:tcPr>
            <w:tcW w:w="839" w:type="dxa"/>
            <w:tcBorders>
              <w:left w:val="single" w:sz="6" w:space="0" w:color="E9ECF1"/>
            </w:tcBorders>
            <w:shd w:color="auto" w:fill="E9ECF1"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260" w:type="dxa"/>
            <w:tcBorders/>
            <w:shd w:color="auto" w:fill="E9ECF1"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079" w:type="dxa"/>
            <w:tcBorders/>
            <w:shd w:color="auto" w:fill="E9ECF1"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2</w:t>
            </w:r>
          </w:p>
        </w:tc>
        <w:tc>
          <w:tcPr>
            <w:tcW w:w="3779" w:type="dxa"/>
            <w:gridSpan w:val="2"/>
            <w:tcBorders/>
            <w:shd w:color="auto" w:fill="E9ECF1" w:val="clear"/>
            <w:tcMar>
              <w:top w:w="57" w:type="dxa"/>
              <w:left w:w="57" w:type="dxa"/>
              <w:bottom w:w="57" w:type="dxa"/>
              <w:right w:w="57"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r>
              <w:rPr>
                <w:rFonts w:ascii="Times New Roman" w:hAnsi="Times New Roman"/>
                <w:sz w:val="20"/>
                <w:szCs w:val="20"/>
                <w:lang w:eastAsia="ru-RU"/>
              </w:rPr>
              <w:t>ежегодно, до 1 марта</w:t>
            </w:r>
          </w:p>
        </w:tc>
        <w:tc>
          <w:tcPr>
            <w:tcW w:w="5219" w:type="dxa"/>
            <w:gridSpan w:val="3"/>
            <w:tcBorders/>
            <w:shd w:color="auto" w:fill="E9ECF1" w:val="clear"/>
            <w:tcMar>
              <w:left w:w="0" w:type="dxa"/>
              <w:right w:w="22"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о балансе электрической энергии и мощности, в том числе об отпуске электроэнергии в сеть и отпуске электроэнергии из сети сетевой компании по уровням напряжений, используемым для ценообразования, потребителям электрической энергии и территориальным сетевым организациям, присоединенным к сетям сетевой организации, об объеме переданной электроэнергии по договорам об оказании услуг по передаче электроэнергии потребителям сетевой организации в разрезе уровней напряжений, используемых для ценообразования, а также о потерях электроэнергии в сетях сетевой организации в абсолютном и относительном выражении по уровням напряжения, используемым для целей ценообразования;</w:t>
            </w:r>
          </w:p>
        </w:tc>
        <w:tc>
          <w:tcPr>
            <w:tcW w:w="2523" w:type="dxa"/>
            <w:gridSpan w:val="2"/>
            <w:tcBorders>
              <w:right w:val="single" w:sz="6" w:space="0" w:color="E9ECF1"/>
            </w:tcBorders>
            <w:shd w:color="auto" w:fill="E9ECF1" w:val="clear"/>
            <w:vAlign w:val="center"/>
          </w:tcPr>
          <w:p>
            <w:pPr>
              <w:pStyle w:val="Normal"/>
              <w:spacing w:lineRule="auto" w:line="240" w:before="0" w:after="0"/>
              <w:rPr>
                <w:b/>
                <w:b/>
              </w:rPr>
            </w:pPr>
            <w:r>
              <w:rPr>
                <w:b/>
              </w:rPr>
              <w:t>Файл 19 Г2п</w:t>
            </w:r>
          </w:p>
          <w:p>
            <w:pPr>
              <w:pStyle w:val="Normal"/>
              <w:spacing w:lineRule="auto" w:line="240" w:before="0" w:after="0"/>
              <w:rPr>
                <w:rFonts w:ascii="Times New Roman" w:hAnsi="Times New Roman"/>
                <w:sz w:val="20"/>
                <w:szCs w:val="20"/>
                <w:lang w:eastAsia="ru-RU"/>
              </w:rPr>
            </w:pPr>
            <w:r>
              <w:rPr>
                <w:b/>
              </w:rPr>
              <w:t>Файл 19 Г2ф</w:t>
            </w:r>
          </w:p>
        </w:tc>
      </w:tr>
      <w:tr>
        <w:trPr/>
        <w:tc>
          <w:tcPr>
            <w:tcW w:w="839" w:type="dxa"/>
            <w:tcBorders>
              <w:left w:val="single" w:sz="6" w:space="0" w:color="E9ECF1"/>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260" w:type="dxa"/>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079" w:type="dxa"/>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3</w:t>
            </w:r>
          </w:p>
        </w:tc>
        <w:tc>
          <w:tcPr>
            <w:tcW w:w="3779" w:type="dxa"/>
            <w:gridSpan w:val="2"/>
            <w:tcBorders/>
            <w:shd w:color="auto" w:fill="FFFFFF" w:val="clear"/>
            <w:tcMar>
              <w:top w:w="57" w:type="dxa"/>
              <w:left w:w="57" w:type="dxa"/>
              <w:bottom w:w="57" w:type="dxa"/>
              <w:right w:w="57"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r>
              <w:rPr>
                <w:rFonts w:ascii="Times New Roman" w:hAnsi="Times New Roman"/>
                <w:sz w:val="20"/>
                <w:szCs w:val="20"/>
                <w:lang w:eastAsia="ru-RU"/>
              </w:rPr>
              <w:t>ежегодно, до 1 марта</w:t>
            </w:r>
          </w:p>
        </w:tc>
        <w:tc>
          <w:tcPr>
            <w:tcW w:w="5219" w:type="dxa"/>
            <w:gridSpan w:val="3"/>
            <w:tcBorders/>
            <w:shd w:color="auto" w:fill="FFFFFF" w:val="clear"/>
            <w:tcMar>
              <w:left w:w="0" w:type="dxa"/>
              <w:right w:w="22"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о затратах на оплату потерь, в том числе о затратах сетевой организации на покупку потерь в собственных сетях, об уровне нормативных потерь электроэнергии на текущий период с указанием источника опубликования решения об установлении уровня нормативных потерь, о перечне мероприятий по снижению размеров потерь в сетях, а также о сроках их исполнения и источниках финансирования, о закупке сетевыми организациями электрической энергии для компенсации потерь в сетях и ее стоимости, а также о размере фактических потерь, оплачиваемых покупателями при осуществлении расчетов за электрическую энергию по уровням напряжения;</w:t>
            </w:r>
          </w:p>
        </w:tc>
        <w:tc>
          <w:tcPr>
            <w:tcW w:w="2523" w:type="dxa"/>
            <w:gridSpan w:val="2"/>
            <w:tcBorders>
              <w:right w:val="single" w:sz="6" w:space="0" w:color="E9ECF1"/>
            </w:tcBorders>
            <w:shd w:color="auto" w:fill="FFFFFF" w:val="clear"/>
            <w:vAlign w:val="center"/>
          </w:tcPr>
          <w:p>
            <w:pPr>
              <w:pStyle w:val="Normal"/>
              <w:spacing w:lineRule="auto" w:line="240" w:before="0" w:after="0"/>
              <w:rPr>
                <w:b/>
                <w:b/>
              </w:rPr>
            </w:pPr>
            <w:r>
              <w:rPr>
                <w:b/>
              </w:rPr>
              <w:t>Файл 19 Г3п</w:t>
            </w:r>
          </w:p>
          <w:p>
            <w:pPr>
              <w:pStyle w:val="Normal"/>
              <w:spacing w:lineRule="auto" w:line="240" w:before="0" w:after="0"/>
              <w:rPr>
                <w:rFonts w:ascii="Times New Roman" w:hAnsi="Times New Roman"/>
                <w:b/>
                <w:b/>
                <w:color w:val="0000FF"/>
                <w:sz w:val="20"/>
                <w:szCs w:val="20"/>
                <w:lang w:eastAsia="ru-RU"/>
              </w:rPr>
            </w:pPr>
            <w:r>
              <w:rPr>
                <w:b/>
              </w:rPr>
              <w:t>Файл 19 Г3ф</w:t>
            </w:r>
          </w:p>
        </w:tc>
      </w:tr>
      <w:tr>
        <w:trPr/>
        <w:tc>
          <w:tcPr>
            <w:tcW w:w="839" w:type="dxa"/>
            <w:tcBorders>
              <w:left w:val="single" w:sz="6" w:space="0" w:color="E9ECF1"/>
            </w:tcBorders>
            <w:shd w:color="auto" w:fill="E9ECF1"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260" w:type="dxa"/>
            <w:tcBorders/>
            <w:shd w:color="auto" w:fill="E9ECF1"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079" w:type="dxa"/>
            <w:tcBorders/>
            <w:shd w:color="auto" w:fill="E9ECF1"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4</w:t>
            </w:r>
          </w:p>
        </w:tc>
        <w:tc>
          <w:tcPr>
            <w:tcW w:w="3779" w:type="dxa"/>
            <w:gridSpan w:val="2"/>
            <w:tcBorders/>
            <w:shd w:color="auto" w:fill="E9ECF1" w:val="clear"/>
            <w:tcMar>
              <w:top w:w="57" w:type="dxa"/>
              <w:left w:w="57" w:type="dxa"/>
              <w:bottom w:w="57" w:type="dxa"/>
              <w:right w:w="57"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r>
              <w:rPr>
                <w:rFonts w:ascii="Times New Roman" w:hAnsi="Times New Roman"/>
                <w:sz w:val="20"/>
                <w:szCs w:val="20"/>
                <w:lang w:eastAsia="ru-RU"/>
              </w:rPr>
              <w:t>ежегодно, до 1 марта</w:t>
            </w:r>
          </w:p>
        </w:tc>
        <w:tc>
          <w:tcPr>
            <w:tcW w:w="5219" w:type="dxa"/>
            <w:gridSpan w:val="3"/>
            <w:tcBorders/>
            <w:shd w:color="auto" w:fill="E9ECF1" w:val="clear"/>
            <w:tcMar>
              <w:left w:w="0" w:type="dxa"/>
              <w:right w:w="22"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о перечне зон деятельности сетевой организации с детализацией по населенным пунктам и районам городов, определяемых в соответствии с границами балансовой принадлежности электросетевого хозяйства, находящегося в собственности сетевой организации или на ином законном основании;</w:t>
            </w:r>
          </w:p>
        </w:tc>
        <w:tc>
          <w:tcPr>
            <w:tcW w:w="2523" w:type="dxa"/>
            <w:gridSpan w:val="2"/>
            <w:tcBorders>
              <w:right w:val="single" w:sz="6" w:space="0" w:color="E9ECF1"/>
            </w:tcBorders>
            <w:shd w:color="auto" w:fill="E9ECF1" w:val="clear"/>
            <w:vAlign w:val="center"/>
          </w:tcPr>
          <w:p>
            <w:pPr>
              <w:pStyle w:val="Normal"/>
              <w:spacing w:lineRule="auto" w:line="240" w:before="0" w:after="0"/>
              <w:rPr>
                <w:rFonts w:ascii="Times New Roman" w:hAnsi="Times New Roman"/>
                <w:b/>
                <w:b/>
                <w:color w:val="0000FF"/>
                <w:sz w:val="20"/>
                <w:szCs w:val="20"/>
                <w:lang w:eastAsia="ru-RU"/>
              </w:rPr>
            </w:pPr>
            <w:r>
              <w:rPr>
                <w:b/>
              </w:rPr>
              <w:t>Файл 19 Г4</w:t>
            </w:r>
          </w:p>
        </w:tc>
      </w:tr>
      <w:tr>
        <w:trPr/>
        <w:tc>
          <w:tcPr>
            <w:tcW w:w="839" w:type="dxa"/>
            <w:tcBorders>
              <w:left w:val="single" w:sz="6" w:space="0" w:color="E9ECF1"/>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260" w:type="dxa"/>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079" w:type="dxa"/>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5</w:t>
            </w:r>
          </w:p>
        </w:tc>
        <w:tc>
          <w:tcPr>
            <w:tcW w:w="3779" w:type="dxa"/>
            <w:gridSpan w:val="2"/>
            <w:tcBorders/>
            <w:shd w:color="auto" w:fill="FFFFFF" w:val="clear"/>
            <w:tcMar>
              <w:top w:w="57" w:type="dxa"/>
              <w:left w:w="57" w:type="dxa"/>
              <w:bottom w:w="57" w:type="dxa"/>
              <w:right w:w="57"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r>
              <w:rPr>
                <w:rFonts w:ascii="Times New Roman" w:hAnsi="Times New Roman"/>
                <w:sz w:val="20"/>
                <w:szCs w:val="20"/>
                <w:lang w:eastAsia="ru-RU"/>
              </w:rPr>
              <w:t>ежегодно, до 1 марта</w:t>
            </w:r>
          </w:p>
        </w:tc>
        <w:tc>
          <w:tcPr>
            <w:tcW w:w="5219" w:type="dxa"/>
            <w:gridSpan w:val="3"/>
            <w:tcBorders/>
            <w:shd w:color="auto" w:fill="FFFFFF" w:val="clear"/>
            <w:tcMar>
              <w:left w:w="0" w:type="dxa"/>
              <w:right w:w="22"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о техническом состоянии сетей, в том числе о сводных данных об аварийных отключениях в месяц по границам территориальных зон деятельности организации, вызванных авариями или внеплановыми отключениями объектов электросетевого хозяйства, с указанием даты аварийного отключения объектов электросетевого хозяйства и включения их в работу, причин аварий (по итогам расследования в установленном порядке) и мероприятий по их устранению;</w:t>
            </w:r>
          </w:p>
        </w:tc>
        <w:tc>
          <w:tcPr>
            <w:tcW w:w="2523" w:type="dxa"/>
            <w:gridSpan w:val="2"/>
            <w:tcBorders>
              <w:right w:val="single" w:sz="6" w:space="0" w:color="E9ECF1"/>
            </w:tcBorders>
            <w:shd w:color="auto" w:fill="FFFFFF" w:val="clear"/>
            <w:vAlign w:val="center"/>
          </w:tcPr>
          <w:p>
            <w:pPr>
              <w:pStyle w:val="Normal"/>
              <w:spacing w:lineRule="auto" w:line="240" w:before="0" w:after="0"/>
              <w:rPr>
                <w:b/>
                <w:b/>
              </w:rPr>
            </w:pPr>
            <w:r>
              <w:rPr>
                <w:b/>
              </w:rPr>
              <w:t>Файл 19 Г5</w:t>
            </w:r>
          </w:p>
          <w:p>
            <w:pPr>
              <w:pStyle w:val="Normal"/>
              <w:spacing w:lineRule="auto" w:line="240" w:before="0" w:after="0"/>
              <w:rPr>
                <w:b/>
                <w:b/>
              </w:rPr>
            </w:pPr>
            <w:r>
              <w:rPr>
                <w:b/>
              </w:rPr>
              <w:t>Файл 19 Г5 1</w:t>
            </w:r>
          </w:p>
          <w:p>
            <w:pPr>
              <w:pStyle w:val="Normal"/>
              <w:spacing w:lineRule="auto" w:line="240" w:before="0" w:after="0"/>
              <w:rPr>
                <w:b/>
                <w:b/>
              </w:rPr>
            </w:pPr>
            <w:r>
              <w:rPr>
                <w:b/>
              </w:rPr>
              <w:t>Файл 19 Г5 2</w:t>
            </w:r>
          </w:p>
          <w:p>
            <w:pPr>
              <w:pStyle w:val="Normal"/>
              <w:spacing w:lineRule="auto" w:line="240" w:before="0" w:after="0"/>
              <w:rPr>
                <w:rFonts w:ascii="Times New Roman" w:hAnsi="Times New Roman"/>
                <w:b/>
                <w:b/>
                <w:color w:val="FF0000"/>
                <w:sz w:val="20"/>
                <w:szCs w:val="20"/>
                <w:lang w:eastAsia="ru-RU"/>
              </w:rPr>
            </w:pPr>
            <w:r>
              <w:rPr>
                <w:rFonts w:ascii="Times New Roman" w:hAnsi="Times New Roman"/>
                <w:b/>
                <w:color w:val="FF0000"/>
                <w:sz w:val="20"/>
                <w:szCs w:val="20"/>
                <w:lang w:eastAsia="ru-RU"/>
              </w:rPr>
            </w:r>
          </w:p>
          <w:p>
            <w:pPr>
              <w:pStyle w:val="Normal"/>
              <w:spacing w:lineRule="auto" w:line="240" w:before="0" w:after="0"/>
              <w:rPr>
                <w:rFonts w:ascii="Times New Roman" w:hAnsi="Times New Roman"/>
                <w:color w:val="FF0000"/>
                <w:sz w:val="20"/>
                <w:szCs w:val="20"/>
                <w:lang w:eastAsia="ru-RU"/>
              </w:rPr>
            </w:pPr>
            <w:r>
              <w:rPr>
                <w:rFonts w:ascii="Times New Roman" w:hAnsi="Times New Roman"/>
                <w:color w:val="FF0000"/>
                <w:sz w:val="20"/>
                <w:szCs w:val="20"/>
                <w:lang w:eastAsia="ru-RU"/>
              </w:rPr>
            </w:r>
          </w:p>
        </w:tc>
      </w:tr>
      <w:tr>
        <w:trPr/>
        <w:tc>
          <w:tcPr>
            <w:tcW w:w="839" w:type="dxa"/>
            <w:tcBorders>
              <w:left w:val="single" w:sz="6" w:space="0" w:color="E9ECF1"/>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260" w:type="dxa"/>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079" w:type="dxa"/>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6</w:t>
            </w:r>
          </w:p>
        </w:tc>
        <w:tc>
          <w:tcPr>
            <w:tcW w:w="3779" w:type="dxa"/>
            <w:gridSpan w:val="2"/>
            <w:tcBorders/>
            <w:shd w:color="auto" w:fill="FFFFFF" w:val="clear"/>
            <w:tcMar>
              <w:top w:w="57" w:type="dxa"/>
              <w:left w:w="57" w:type="dxa"/>
              <w:bottom w:w="57" w:type="dxa"/>
              <w:right w:w="57"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r>
              <w:rPr>
                <w:rFonts w:ascii="Times New Roman" w:hAnsi="Times New Roman"/>
                <w:sz w:val="20"/>
                <w:szCs w:val="20"/>
                <w:lang w:eastAsia="ru-RU"/>
              </w:rPr>
              <w:t>ежеквартально</w:t>
            </w:r>
          </w:p>
        </w:tc>
        <w:tc>
          <w:tcPr>
            <w:tcW w:w="5219" w:type="dxa"/>
            <w:gridSpan w:val="3"/>
            <w:tcBorders/>
            <w:shd w:color="auto" w:fill="FFFFFF" w:val="clear"/>
            <w:tcMar>
              <w:left w:w="0" w:type="dxa"/>
              <w:right w:w="22"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19 г 6) об объеме недопоставленной в результате аварийных отключений электрической энергии;</w:t>
            </w:r>
          </w:p>
        </w:tc>
        <w:tc>
          <w:tcPr>
            <w:tcW w:w="2523" w:type="dxa"/>
            <w:gridSpan w:val="2"/>
            <w:tcBorders>
              <w:right w:val="single" w:sz="6" w:space="0" w:color="E9ECF1"/>
            </w:tcBorders>
            <w:shd w:color="auto" w:fill="FFFFFF" w:val="clear"/>
            <w:vAlign w:val="center"/>
          </w:tcPr>
          <w:p>
            <w:pPr>
              <w:pStyle w:val="Normal"/>
              <w:spacing w:lineRule="auto" w:line="240" w:before="0" w:after="0"/>
              <w:rPr>
                <w:b/>
                <w:b/>
              </w:rPr>
            </w:pPr>
            <w:r>
              <w:rPr>
                <w:b/>
              </w:rPr>
              <w:t>Файл 19 Г6 1</w:t>
            </w:r>
          </w:p>
          <w:p>
            <w:pPr>
              <w:pStyle w:val="Normal"/>
              <w:spacing w:lineRule="auto" w:line="240" w:before="0" w:after="0"/>
              <w:rPr>
                <w:rFonts w:ascii="Times New Roman" w:hAnsi="Times New Roman"/>
                <w:b/>
                <w:b/>
                <w:color w:val="0000FF"/>
                <w:sz w:val="20"/>
                <w:szCs w:val="20"/>
                <w:lang w:eastAsia="ru-RU"/>
              </w:rPr>
            </w:pPr>
            <w:r>
              <w:rPr>
                <w:rFonts w:ascii="Times New Roman" w:hAnsi="Times New Roman"/>
                <w:b/>
                <w:color w:val="0000FF"/>
                <w:sz w:val="20"/>
                <w:szCs w:val="20"/>
                <w:lang w:eastAsia="ru-RU"/>
              </w:rPr>
            </w:r>
          </w:p>
        </w:tc>
      </w:tr>
      <w:tr>
        <w:trPr/>
        <w:tc>
          <w:tcPr>
            <w:tcW w:w="839" w:type="dxa"/>
            <w:tcBorders>
              <w:left w:val="single" w:sz="6" w:space="0" w:color="E9ECF1"/>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260" w:type="dxa"/>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079" w:type="dxa"/>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7</w:t>
            </w:r>
          </w:p>
        </w:tc>
        <w:tc>
          <w:tcPr>
            <w:tcW w:w="3779" w:type="dxa"/>
            <w:gridSpan w:val="2"/>
            <w:tcBorders/>
            <w:shd w:color="auto" w:fill="FFFFFF" w:val="clear"/>
            <w:tcMar>
              <w:top w:w="57" w:type="dxa"/>
              <w:left w:w="57" w:type="dxa"/>
              <w:bottom w:w="57" w:type="dxa"/>
              <w:right w:w="57"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ежеквартально</w:t>
            </w:r>
          </w:p>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при появлении свободной для технологического присоединения мощности трансформаторной мощности в течении 3 дней</w:t>
            </w:r>
          </w:p>
        </w:tc>
        <w:tc>
          <w:tcPr>
            <w:tcW w:w="5219" w:type="dxa"/>
            <w:gridSpan w:val="3"/>
            <w:tcBorders/>
            <w:shd w:color="auto" w:fill="FFFFFF" w:val="clear"/>
            <w:tcMar>
              <w:left w:w="0" w:type="dxa"/>
              <w:right w:w="22"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19 г 7) о наличии объема свободной для технологического присоединения потребителей трансформаторной мощности с указанием текущего объема свободной мощности по центрам питания напряжением 35 кВ и выше; В случае если появление свободной для технологического присоединения потребителей трансформаторной мощности в центре питания связано с отказом потребителей услуг полностью или частично от максимальной мощности принадлежащих им энергопринимающих устройств, то информация, указанная в абзаце седьмом подпункта "г" пункта 19 настоящего документа, подлежит опубликованию на официальном сайте сетевой организации или ином официальном сайте в сети "Интернет", определяемом Правительством Российской Федерации, в течение 3 дней со дня, с которого максимальная мощность потребителя услуг считается сниженной.</w:t>
            </w:r>
          </w:p>
        </w:tc>
        <w:tc>
          <w:tcPr>
            <w:tcW w:w="2523" w:type="dxa"/>
            <w:gridSpan w:val="2"/>
            <w:tcBorders>
              <w:right w:val="single" w:sz="6" w:space="0" w:color="E9ECF1"/>
            </w:tcBorders>
            <w:shd w:color="auto" w:fill="FFFFFF" w:val="clear"/>
            <w:vAlign w:val="center"/>
          </w:tcPr>
          <w:p>
            <w:pPr>
              <w:pStyle w:val="Normal"/>
              <w:spacing w:lineRule="auto" w:line="240" w:before="0" w:after="0"/>
              <w:rPr>
                <w:b/>
                <w:b/>
              </w:rPr>
            </w:pPr>
            <w:r>
              <w:rPr>
                <w:b/>
              </w:rPr>
              <w:t>Файл 19 Г7 1</w:t>
            </w:r>
          </w:p>
          <w:p>
            <w:pPr>
              <w:pStyle w:val="Normal"/>
              <w:spacing w:lineRule="auto" w:line="240" w:before="0" w:after="0"/>
              <w:rPr>
                <w:rFonts w:ascii="Times New Roman" w:hAnsi="Times New Roman"/>
                <w:b/>
                <w:b/>
                <w:sz w:val="20"/>
                <w:szCs w:val="20"/>
                <w:lang w:eastAsia="ru-RU"/>
              </w:rPr>
            </w:pPr>
            <w:r>
              <w:rPr>
                <w:rFonts w:ascii="Times New Roman" w:hAnsi="Times New Roman"/>
                <w:b/>
                <w:sz w:val="20"/>
                <w:szCs w:val="20"/>
                <w:lang w:eastAsia="ru-RU"/>
              </w:rPr>
            </w:r>
          </w:p>
        </w:tc>
      </w:tr>
      <w:tr>
        <w:trPr/>
        <w:tc>
          <w:tcPr>
            <w:tcW w:w="839" w:type="dxa"/>
            <w:tcBorders>
              <w:left w:val="single" w:sz="6" w:space="0" w:color="E9ECF1"/>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260" w:type="dxa"/>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079" w:type="dxa"/>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8</w:t>
            </w:r>
          </w:p>
        </w:tc>
        <w:tc>
          <w:tcPr>
            <w:tcW w:w="3779" w:type="dxa"/>
            <w:gridSpan w:val="2"/>
            <w:tcBorders/>
            <w:shd w:color="auto" w:fill="FFFFFF" w:val="clear"/>
            <w:tcMar>
              <w:top w:w="57" w:type="dxa"/>
              <w:left w:w="57" w:type="dxa"/>
              <w:bottom w:w="57" w:type="dxa"/>
              <w:right w:w="57"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r>
              <w:rPr>
                <w:rFonts w:ascii="Times New Roman" w:hAnsi="Times New Roman"/>
                <w:sz w:val="20"/>
                <w:szCs w:val="20"/>
                <w:lang w:eastAsia="ru-RU"/>
              </w:rPr>
              <w:t>ежеквартально</w:t>
            </w:r>
          </w:p>
        </w:tc>
        <w:tc>
          <w:tcPr>
            <w:tcW w:w="5219" w:type="dxa"/>
            <w:gridSpan w:val="3"/>
            <w:tcBorders/>
            <w:shd w:color="auto" w:fill="FFFFFF" w:val="clear"/>
            <w:tcMar>
              <w:left w:w="0" w:type="dxa"/>
              <w:right w:w="22"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19 г 8) о наличии объема свободной для технологического присоединения потребителей трансформаторной мощности по подстанциям и распределительным пунктам напряжением ниже 35 кВ с дифференциацией по всем уровням напряжения;</w:t>
            </w:r>
          </w:p>
        </w:tc>
        <w:tc>
          <w:tcPr>
            <w:tcW w:w="2523" w:type="dxa"/>
            <w:gridSpan w:val="2"/>
            <w:tcBorders>
              <w:right w:val="single" w:sz="6" w:space="0" w:color="E9ECF1"/>
            </w:tcBorders>
            <w:shd w:color="auto" w:fill="FFFFFF" w:val="clear"/>
            <w:vAlign w:val="center"/>
          </w:tcPr>
          <w:p>
            <w:pPr>
              <w:pStyle w:val="Normal"/>
              <w:spacing w:lineRule="auto" w:line="240" w:before="0" w:after="0"/>
              <w:rPr>
                <w:b/>
                <w:b/>
              </w:rPr>
            </w:pPr>
            <w:r>
              <w:rPr>
                <w:b/>
              </w:rPr>
              <w:t>Файл 19 Г8 1</w:t>
            </w:r>
          </w:p>
          <w:p>
            <w:pPr>
              <w:pStyle w:val="Normal"/>
              <w:spacing w:lineRule="auto" w:line="240" w:before="0" w:after="0"/>
              <w:rPr>
                <w:rFonts w:ascii="Times New Roman" w:hAnsi="Times New Roman"/>
                <w:b/>
                <w:b/>
                <w:color w:val="0000FF"/>
                <w:sz w:val="20"/>
                <w:szCs w:val="20"/>
                <w:lang w:eastAsia="ru-RU"/>
              </w:rPr>
            </w:pPr>
            <w:r>
              <w:rPr>
                <w:rFonts w:ascii="Times New Roman" w:hAnsi="Times New Roman"/>
                <w:b/>
                <w:color w:val="0000FF"/>
                <w:sz w:val="20"/>
                <w:szCs w:val="20"/>
                <w:lang w:eastAsia="ru-RU"/>
              </w:rPr>
            </w:r>
          </w:p>
        </w:tc>
      </w:tr>
      <w:tr>
        <w:trPr/>
        <w:tc>
          <w:tcPr>
            <w:tcW w:w="839" w:type="dxa"/>
            <w:tcBorders>
              <w:left w:val="single" w:sz="6" w:space="0" w:color="E9ECF1"/>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260" w:type="dxa"/>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079" w:type="dxa"/>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9</w:t>
            </w:r>
          </w:p>
        </w:tc>
        <w:tc>
          <w:tcPr>
            <w:tcW w:w="3779" w:type="dxa"/>
            <w:gridSpan w:val="2"/>
            <w:tcBorders/>
            <w:shd w:color="auto" w:fill="FFFFFF" w:val="clear"/>
            <w:tcMar>
              <w:top w:w="57" w:type="dxa"/>
              <w:left w:w="57" w:type="dxa"/>
              <w:bottom w:w="57" w:type="dxa"/>
              <w:right w:w="57"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r>
              <w:rPr>
                <w:rFonts w:ascii="Times New Roman" w:hAnsi="Times New Roman"/>
                <w:sz w:val="20"/>
                <w:szCs w:val="20"/>
                <w:lang w:eastAsia="ru-RU"/>
              </w:rPr>
              <w:t>Не реже одного раза в месяц</w:t>
            </w:r>
          </w:p>
        </w:tc>
        <w:tc>
          <w:tcPr>
            <w:tcW w:w="5219" w:type="dxa"/>
            <w:gridSpan w:val="3"/>
            <w:tcBorders/>
            <w:shd w:color="auto" w:fill="FFFFFF" w:val="clear"/>
            <w:tcMar>
              <w:left w:w="0" w:type="dxa"/>
              <w:right w:w="22"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19 г 9) о вводе в ремонт и выводе из ремонта электросетевых объектов с указанием сроков (сводная информация);</w:t>
            </w:r>
          </w:p>
        </w:tc>
        <w:tc>
          <w:tcPr>
            <w:tcW w:w="2523" w:type="dxa"/>
            <w:gridSpan w:val="2"/>
            <w:tcBorders>
              <w:right w:val="single" w:sz="6" w:space="0" w:color="E9ECF1"/>
            </w:tcBorders>
            <w:shd w:color="auto" w:fill="FFFFFF" w:val="clear"/>
            <w:vAlign w:val="center"/>
          </w:tcPr>
          <w:p>
            <w:pPr>
              <w:pStyle w:val="Normal"/>
              <w:spacing w:lineRule="auto" w:line="240" w:before="0" w:after="0"/>
              <w:rPr>
                <w:b/>
                <w:b/>
              </w:rPr>
            </w:pPr>
            <w:r>
              <w:rPr>
                <w:b/>
              </w:rPr>
              <w:t>Файл 19 Г9</w:t>
            </w:r>
          </w:p>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r>
      <w:tr>
        <w:trPr/>
        <w:tc>
          <w:tcPr>
            <w:tcW w:w="839" w:type="dxa"/>
            <w:tcBorders>
              <w:left w:val="single" w:sz="6" w:space="0" w:color="E9ECF1"/>
            </w:tcBorders>
            <w:shd w:fill="auto"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19</w:t>
            </w:r>
          </w:p>
        </w:tc>
        <w:tc>
          <w:tcPr>
            <w:tcW w:w="1260" w:type="dxa"/>
            <w:tcBorders/>
            <w:shd w:fill="auto"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д</w:t>
            </w:r>
          </w:p>
        </w:tc>
        <w:tc>
          <w:tcPr>
            <w:tcW w:w="1079" w:type="dxa"/>
            <w:tcBorders/>
            <w:shd w:fill="auto"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r>
              <w:rPr>
                <w:rFonts w:ascii="Times New Roman" w:hAnsi="Times New Roman"/>
                <w:sz w:val="20"/>
                <w:szCs w:val="20"/>
                <w:lang w:eastAsia="ru-RU"/>
              </w:rPr>
              <w:t>1</w:t>
            </w:r>
          </w:p>
        </w:tc>
        <w:tc>
          <w:tcPr>
            <w:tcW w:w="3779" w:type="dxa"/>
            <w:gridSpan w:val="2"/>
            <w:tcBorders/>
            <w:shd w:fill="auto" w:val="clear"/>
            <w:tcMar>
              <w:top w:w="57" w:type="dxa"/>
              <w:left w:w="57" w:type="dxa"/>
              <w:bottom w:w="57" w:type="dxa"/>
              <w:right w:w="57"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Ежемесячно для ТП, РП напряжением 35 кВ и выше;</w:t>
            </w:r>
          </w:p>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r>
          </w:p>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r>
          </w:p>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в течение 7 дней со дня поступления письменного запроса для ТП, РП напряжением ниже 35 кВ</w:t>
            </w:r>
          </w:p>
        </w:tc>
        <w:tc>
          <w:tcPr>
            <w:tcW w:w="5219" w:type="dxa"/>
            <w:gridSpan w:val="3"/>
            <w:tcBorders/>
            <w:shd w:fill="auto" w:val="clear"/>
            <w:tcMar>
              <w:left w:w="0" w:type="dxa"/>
              <w:right w:w="22"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19 д) о наличии (об отсутствии) технической возможности доступа к регулируемым товарам (работам, услугам) субъектам естественных монополий и о регистрации и ходе реализации заявок на технологическое присоединение к электрическим сетям, включая информацию, содержащую сводные данные в разрезе субъектов РФ о поданных заявках на технологическое присоединение к эл/сетям и заключенных договорах об осуществлении технологического присоединения к эл/сетям по сетевой компании с указанием количества: </w:t>
            </w:r>
          </w:p>
        </w:tc>
        <w:tc>
          <w:tcPr>
            <w:tcW w:w="2523" w:type="dxa"/>
            <w:gridSpan w:val="2"/>
            <w:tcBorders>
              <w:right w:val="single" w:sz="6" w:space="0" w:color="E9ECF1"/>
            </w:tcBorders>
            <w:shd w:fill="auto" w:val="clear"/>
            <w:vAlign w:val="center"/>
          </w:tcPr>
          <w:p>
            <w:pPr>
              <w:pStyle w:val="Normal"/>
              <w:spacing w:lineRule="auto" w:line="240" w:before="0" w:after="0"/>
              <w:rPr>
                <w:b/>
                <w:b/>
              </w:rPr>
            </w:pPr>
            <w:r>
              <w:rPr>
                <w:rFonts w:ascii="Times New Roman" w:hAnsi="Times New Roman"/>
                <w:sz w:val="20"/>
                <w:szCs w:val="20"/>
                <w:lang w:eastAsia="ru-RU"/>
              </w:rPr>
              <w:t> </w:t>
            </w:r>
            <w:r>
              <w:rPr>
                <w:b/>
              </w:rPr>
              <w:t>Файл 19 Д</w:t>
            </w:r>
          </w:p>
          <w:p>
            <w:pPr>
              <w:pStyle w:val="Normal"/>
              <w:spacing w:lineRule="auto" w:line="240" w:before="0" w:after="0"/>
              <w:rPr>
                <w:rFonts w:ascii="Times New Roman" w:hAnsi="Times New Roman"/>
                <w:b/>
                <w:b/>
                <w:color w:val="0000FF"/>
                <w:sz w:val="20"/>
                <w:szCs w:val="20"/>
                <w:lang w:eastAsia="ru-RU"/>
              </w:rPr>
            </w:pPr>
            <w:r>
              <w:rPr>
                <w:rFonts w:ascii="Times New Roman" w:hAnsi="Times New Roman"/>
                <w:b/>
                <w:color w:val="0000FF"/>
                <w:sz w:val="20"/>
                <w:szCs w:val="20"/>
                <w:lang w:eastAsia="ru-RU"/>
              </w:rPr>
            </w:r>
          </w:p>
          <w:p>
            <w:pPr>
              <w:pStyle w:val="Normal"/>
              <w:spacing w:lineRule="auto" w:line="240" w:before="0" w:after="0"/>
              <w:rPr>
                <w:rFonts w:ascii="Times New Roman" w:hAnsi="Times New Roman"/>
                <w:b/>
                <w:b/>
                <w:color w:val="0000FF"/>
                <w:sz w:val="20"/>
                <w:szCs w:val="20"/>
                <w:lang w:eastAsia="ru-RU"/>
              </w:rPr>
            </w:pPr>
            <w:r>
              <w:rPr>
                <w:rFonts w:ascii="Times New Roman" w:hAnsi="Times New Roman"/>
                <w:b/>
                <w:color w:val="0000FF"/>
                <w:sz w:val="20"/>
                <w:szCs w:val="20"/>
                <w:lang w:eastAsia="ru-RU"/>
              </w:rPr>
            </w:r>
          </w:p>
          <w:p>
            <w:pPr>
              <w:pStyle w:val="Normal"/>
              <w:spacing w:lineRule="auto" w:line="240" w:before="0" w:after="0"/>
              <w:rPr>
                <w:rFonts w:ascii="Times New Roman" w:hAnsi="Times New Roman"/>
                <w:b/>
                <w:b/>
                <w:color w:val="0000FF"/>
                <w:sz w:val="20"/>
                <w:szCs w:val="20"/>
                <w:lang w:eastAsia="ru-RU"/>
              </w:rPr>
            </w:pPr>
            <w:r>
              <w:rPr>
                <w:rFonts w:ascii="Times New Roman" w:hAnsi="Times New Roman"/>
                <w:b/>
                <w:color w:val="0000FF"/>
                <w:sz w:val="20"/>
                <w:szCs w:val="20"/>
                <w:lang w:eastAsia="ru-RU"/>
              </w:rPr>
            </w:r>
          </w:p>
          <w:p>
            <w:pPr>
              <w:pStyle w:val="Normal"/>
              <w:spacing w:lineRule="auto" w:line="240" w:before="0" w:after="0"/>
              <w:rPr>
                <w:rFonts w:ascii="Times New Roman" w:hAnsi="Times New Roman"/>
                <w:sz w:val="20"/>
                <w:szCs w:val="20"/>
                <w:lang w:eastAsia="ru-RU"/>
              </w:rPr>
            </w:pPr>
            <w:r>
              <w:rPr>
                <w:rFonts w:ascii="Times New Roman" w:hAnsi="Times New Roman"/>
                <w:b/>
                <w:sz w:val="20"/>
                <w:szCs w:val="20"/>
                <w:lang w:eastAsia="ru-RU"/>
              </w:rPr>
              <w:t>Ссылка при наличии запроса</w:t>
            </w:r>
          </w:p>
        </w:tc>
      </w:tr>
      <w:tr>
        <w:trPr/>
        <w:tc>
          <w:tcPr>
            <w:tcW w:w="839" w:type="dxa"/>
            <w:tcBorders>
              <w:left w:val="single" w:sz="6" w:space="0" w:color="E9ECF1"/>
            </w:tcBorders>
            <w:shd w:color="auto" w:fill="E9ECF1"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260" w:type="dxa"/>
            <w:tcBorders/>
            <w:shd w:color="auto" w:fill="E9ECF1"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079" w:type="dxa"/>
            <w:tcBorders/>
            <w:shd w:color="auto" w:fill="E9ECF1"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r>
              <w:rPr>
                <w:rFonts w:ascii="Times New Roman" w:hAnsi="Times New Roman"/>
                <w:sz w:val="20"/>
                <w:szCs w:val="20"/>
                <w:lang w:eastAsia="ru-RU"/>
              </w:rPr>
              <w:t>2</w:t>
            </w:r>
          </w:p>
        </w:tc>
        <w:tc>
          <w:tcPr>
            <w:tcW w:w="3779" w:type="dxa"/>
            <w:gridSpan w:val="2"/>
            <w:tcBorders/>
            <w:shd w:color="auto" w:fill="E9ECF1" w:val="clear"/>
            <w:tcMar>
              <w:top w:w="57" w:type="dxa"/>
              <w:left w:w="57" w:type="dxa"/>
              <w:bottom w:w="57" w:type="dxa"/>
              <w:right w:w="57"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5219" w:type="dxa"/>
            <w:gridSpan w:val="3"/>
            <w:tcBorders/>
            <w:shd w:color="auto" w:fill="E9ECF1" w:val="clear"/>
            <w:tcMar>
              <w:left w:w="0" w:type="dxa"/>
              <w:right w:w="22"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поданных заявок и объема мощности, необходимого для их удовлетворения;</w:t>
            </w:r>
          </w:p>
        </w:tc>
        <w:tc>
          <w:tcPr>
            <w:tcW w:w="2523" w:type="dxa"/>
            <w:gridSpan w:val="2"/>
            <w:tcBorders>
              <w:right w:val="single" w:sz="6" w:space="0" w:color="E9ECF1"/>
            </w:tcBorders>
            <w:shd w:color="auto" w:fill="E9ECF1" w:val="clear"/>
            <w:vAlign w:val="center"/>
          </w:tcPr>
          <w:p>
            <w:pPr>
              <w:pStyle w:val="Normal"/>
              <w:spacing w:lineRule="auto" w:line="240" w:before="0" w:after="0"/>
              <w:rPr>
                <w:b/>
                <w:b/>
              </w:rPr>
            </w:pPr>
            <w:r>
              <w:rPr>
                <w:rFonts w:ascii="Times New Roman" w:hAnsi="Times New Roman"/>
                <w:sz w:val="20"/>
                <w:szCs w:val="20"/>
                <w:lang w:eastAsia="ru-RU"/>
              </w:rPr>
              <w:t> </w:t>
            </w:r>
            <w:r>
              <w:rPr>
                <w:b/>
              </w:rPr>
              <w:t>Файл 19 Д</w:t>
            </w:r>
          </w:p>
        </w:tc>
      </w:tr>
      <w:tr>
        <w:trPr/>
        <w:tc>
          <w:tcPr>
            <w:tcW w:w="839" w:type="dxa"/>
            <w:tcBorders>
              <w:left w:val="single" w:sz="6" w:space="0" w:color="E9ECF1"/>
            </w:tcBorders>
            <w:shd w:color="auto" w:fill="E9ECF1"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260" w:type="dxa"/>
            <w:tcBorders/>
            <w:shd w:color="auto" w:fill="E9ECF1"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079" w:type="dxa"/>
            <w:tcBorders/>
            <w:shd w:color="auto" w:fill="E9ECF1"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r>
              <w:rPr>
                <w:rFonts w:ascii="Times New Roman" w:hAnsi="Times New Roman"/>
                <w:sz w:val="20"/>
                <w:szCs w:val="20"/>
                <w:lang w:eastAsia="ru-RU"/>
              </w:rPr>
              <w:t>3</w:t>
            </w:r>
          </w:p>
        </w:tc>
        <w:tc>
          <w:tcPr>
            <w:tcW w:w="3779" w:type="dxa"/>
            <w:gridSpan w:val="2"/>
            <w:tcBorders/>
            <w:shd w:color="auto" w:fill="E9ECF1" w:val="clear"/>
            <w:tcMar>
              <w:top w:w="57" w:type="dxa"/>
              <w:left w:w="57" w:type="dxa"/>
              <w:bottom w:w="57" w:type="dxa"/>
              <w:right w:w="57"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5219" w:type="dxa"/>
            <w:gridSpan w:val="3"/>
            <w:tcBorders/>
            <w:shd w:color="auto" w:fill="E9ECF1" w:val="clear"/>
            <w:tcMar>
              <w:left w:w="0" w:type="dxa"/>
              <w:right w:w="22"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заключенных договоров об осуществлении технологического присоединения к эл/сетям, содержащих сведения об объеме присоединяемой мощности, сроке и плате по каждому договору;</w:t>
            </w:r>
          </w:p>
        </w:tc>
        <w:tc>
          <w:tcPr>
            <w:tcW w:w="2523" w:type="dxa"/>
            <w:gridSpan w:val="2"/>
            <w:tcBorders>
              <w:right w:val="single" w:sz="6" w:space="0" w:color="E9ECF1"/>
            </w:tcBorders>
            <w:shd w:color="auto" w:fill="E9ECF1" w:val="clear"/>
            <w:vAlign w:val="center"/>
          </w:tcPr>
          <w:p>
            <w:pPr>
              <w:pStyle w:val="Normal"/>
              <w:spacing w:lineRule="auto" w:line="240" w:before="0" w:after="0"/>
              <w:rPr>
                <w:b/>
                <w:b/>
              </w:rPr>
            </w:pPr>
            <w:r>
              <w:rPr>
                <w:rFonts w:ascii="Times New Roman" w:hAnsi="Times New Roman"/>
                <w:sz w:val="20"/>
                <w:szCs w:val="20"/>
                <w:lang w:eastAsia="ru-RU"/>
              </w:rPr>
              <w:t> </w:t>
            </w:r>
            <w:r>
              <w:rPr>
                <w:b/>
              </w:rPr>
              <w:t>Файл 19 Д</w:t>
            </w:r>
          </w:p>
        </w:tc>
      </w:tr>
      <w:tr>
        <w:trPr/>
        <w:tc>
          <w:tcPr>
            <w:tcW w:w="839" w:type="dxa"/>
            <w:tcBorders>
              <w:left w:val="single" w:sz="6" w:space="0" w:color="E9ECF1"/>
            </w:tcBorders>
            <w:shd w:fill="auto"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260" w:type="dxa"/>
            <w:tcBorders/>
            <w:shd w:fill="auto"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079" w:type="dxa"/>
            <w:tcBorders/>
            <w:shd w:fill="auto"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4</w:t>
            </w:r>
          </w:p>
        </w:tc>
        <w:tc>
          <w:tcPr>
            <w:tcW w:w="3779" w:type="dxa"/>
            <w:gridSpan w:val="2"/>
            <w:tcBorders/>
            <w:shd w:fill="auto" w:val="clear"/>
            <w:tcMar>
              <w:top w:w="57" w:type="dxa"/>
              <w:left w:w="57" w:type="dxa"/>
              <w:bottom w:w="57" w:type="dxa"/>
              <w:right w:w="57"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5219" w:type="dxa"/>
            <w:gridSpan w:val="3"/>
            <w:tcBorders/>
            <w:shd w:fill="auto" w:val="clear"/>
            <w:tcMar>
              <w:left w:w="0" w:type="dxa"/>
              <w:right w:w="22"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аннулированных заявок на технологическое присоединение;</w:t>
            </w:r>
          </w:p>
        </w:tc>
        <w:tc>
          <w:tcPr>
            <w:tcW w:w="2523" w:type="dxa"/>
            <w:gridSpan w:val="2"/>
            <w:tcBorders>
              <w:right w:val="single" w:sz="6" w:space="0" w:color="E9ECF1"/>
            </w:tcBorders>
            <w:shd w:fill="auto" w:val="clear"/>
            <w:vAlign w:val="center"/>
          </w:tcPr>
          <w:p>
            <w:pPr>
              <w:pStyle w:val="Normal"/>
              <w:spacing w:lineRule="auto" w:line="240" w:before="0" w:after="0"/>
              <w:rPr>
                <w:b/>
                <w:b/>
              </w:rPr>
            </w:pPr>
            <w:r>
              <w:rPr>
                <w:rFonts w:ascii="Times New Roman" w:hAnsi="Times New Roman"/>
                <w:sz w:val="20"/>
                <w:szCs w:val="20"/>
                <w:lang w:eastAsia="ru-RU"/>
              </w:rPr>
              <w:t> </w:t>
            </w:r>
            <w:r>
              <w:rPr>
                <w:b/>
              </w:rPr>
              <w:t>Файл 19 Д</w:t>
            </w:r>
          </w:p>
        </w:tc>
      </w:tr>
      <w:tr>
        <w:trPr/>
        <w:tc>
          <w:tcPr>
            <w:tcW w:w="839" w:type="dxa"/>
            <w:tcBorders>
              <w:left w:val="single" w:sz="6" w:space="0" w:color="E9ECF1"/>
            </w:tcBorders>
            <w:shd w:color="auto" w:fill="E9ECF1"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260" w:type="dxa"/>
            <w:tcBorders/>
            <w:shd w:color="auto" w:fill="E9ECF1"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079" w:type="dxa"/>
            <w:tcBorders/>
            <w:shd w:color="auto" w:fill="E9ECF1"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5</w:t>
            </w:r>
          </w:p>
        </w:tc>
        <w:tc>
          <w:tcPr>
            <w:tcW w:w="3779" w:type="dxa"/>
            <w:gridSpan w:val="2"/>
            <w:tcBorders/>
            <w:shd w:color="auto" w:fill="E9ECF1" w:val="clear"/>
            <w:tcMar>
              <w:top w:w="57" w:type="dxa"/>
              <w:left w:w="57" w:type="dxa"/>
              <w:bottom w:w="57" w:type="dxa"/>
              <w:right w:w="57"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5219" w:type="dxa"/>
            <w:gridSpan w:val="3"/>
            <w:tcBorders/>
            <w:shd w:color="auto" w:fill="E9ECF1" w:val="clear"/>
            <w:tcMar>
              <w:left w:w="0" w:type="dxa"/>
              <w:right w:w="22" w:type="dxa"/>
            </w:tcMar>
            <w:vAlign w:val="center"/>
          </w:tcPr>
          <w:p>
            <w:pPr>
              <w:pStyle w:val="Normal"/>
              <w:spacing w:lineRule="auto" w:line="240" w:before="225" w:after="225"/>
              <w:rPr>
                <w:rFonts w:ascii="Times New Roman" w:hAnsi="Times New Roman"/>
                <w:sz w:val="20"/>
                <w:szCs w:val="20"/>
                <w:lang w:eastAsia="ru-RU"/>
              </w:rPr>
            </w:pPr>
            <w:r>
              <w:rPr>
                <w:rFonts w:ascii="Times New Roman" w:hAnsi="Times New Roman"/>
                <w:sz w:val="20"/>
                <w:szCs w:val="20"/>
                <w:lang w:eastAsia="ru-RU"/>
              </w:rPr>
              <w:t>- выполненных присоединений и присоединенной мощности;</w:t>
            </w:r>
          </w:p>
        </w:tc>
        <w:tc>
          <w:tcPr>
            <w:tcW w:w="2523" w:type="dxa"/>
            <w:gridSpan w:val="2"/>
            <w:tcBorders>
              <w:right w:val="single" w:sz="6" w:space="0" w:color="E9ECF1"/>
            </w:tcBorders>
            <w:shd w:color="auto" w:fill="E9ECF1" w:val="clear"/>
            <w:vAlign w:val="center"/>
          </w:tcPr>
          <w:p>
            <w:pPr>
              <w:pStyle w:val="Normal"/>
              <w:spacing w:lineRule="auto" w:line="240" w:before="0" w:after="0"/>
              <w:rPr>
                <w:b/>
                <w:b/>
              </w:rPr>
            </w:pPr>
            <w:r>
              <w:rPr>
                <w:rFonts w:ascii="Times New Roman" w:hAnsi="Times New Roman"/>
                <w:sz w:val="20"/>
                <w:szCs w:val="20"/>
                <w:lang w:eastAsia="ru-RU"/>
              </w:rPr>
              <w:t> </w:t>
            </w:r>
            <w:r>
              <w:rPr>
                <w:b/>
              </w:rPr>
              <w:t>Файл 19 Д</w:t>
            </w:r>
          </w:p>
        </w:tc>
      </w:tr>
      <w:tr>
        <w:trPr/>
        <w:tc>
          <w:tcPr>
            <w:tcW w:w="839" w:type="dxa"/>
            <w:tcBorders>
              <w:left w:val="single" w:sz="6" w:space="0" w:color="E9ECF1"/>
            </w:tcBorders>
            <w:shd w:fill="auto"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19</w:t>
            </w:r>
          </w:p>
        </w:tc>
        <w:tc>
          <w:tcPr>
            <w:tcW w:w="1260" w:type="dxa"/>
            <w:tcBorders/>
            <w:shd w:fill="auto"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е</w:t>
            </w:r>
          </w:p>
        </w:tc>
        <w:tc>
          <w:tcPr>
            <w:tcW w:w="1079" w:type="dxa"/>
            <w:tcBorders/>
            <w:shd w:fill="auto"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3779" w:type="dxa"/>
            <w:gridSpan w:val="2"/>
            <w:tcBorders/>
            <w:shd w:fill="auto" w:val="clear"/>
            <w:tcMar>
              <w:top w:w="57" w:type="dxa"/>
              <w:left w:w="57" w:type="dxa"/>
              <w:bottom w:w="57" w:type="dxa"/>
              <w:right w:w="57"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ежеквартально</w:t>
            </w:r>
          </w:p>
        </w:tc>
        <w:tc>
          <w:tcPr>
            <w:tcW w:w="5219" w:type="dxa"/>
            <w:gridSpan w:val="3"/>
            <w:tcBorders/>
            <w:shd w:fill="auto" w:val="clear"/>
            <w:tcMar>
              <w:left w:w="0" w:type="dxa"/>
              <w:right w:w="22"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19 е) о величине резервируемой максимальной мощности, определяемой в соответствии с Правилами недискриминационного доступа к услугам по передаче электрической энергии и оказания этих услуг, утвержденными постановлением Правительства Российской Федерации от 27 декабря 2004 г. N 861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с распределением по уровням напряжения</w:t>
            </w:r>
          </w:p>
        </w:tc>
        <w:tc>
          <w:tcPr>
            <w:tcW w:w="2523" w:type="dxa"/>
            <w:gridSpan w:val="2"/>
            <w:tcBorders>
              <w:right w:val="single" w:sz="6" w:space="0" w:color="E9ECF1"/>
            </w:tcBorders>
            <w:shd w:fill="auto" w:val="clear"/>
            <w:vAlign w:val="center"/>
          </w:tcPr>
          <w:p>
            <w:pPr>
              <w:pStyle w:val="Normal"/>
              <w:spacing w:lineRule="auto" w:line="240" w:before="0" w:after="0"/>
              <w:rPr>
                <w:b/>
                <w:b/>
              </w:rPr>
            </w:pPr>
            <w:r>
              <w:rPr>
                <w:rFonts w:ascii="Times New Roman" w:hAnsi="Times New Roman"/>
                <w:sz w:val="20"/>
                <w:szCs w:val="20"/>
                <w:lang w:eastAsia="ru-RU"/>
              </w:rPr>
              <w:t> </w:t>
            </w:r>
            <w:r>
              <w:rPr>
                <w:b/>
              </w:rPr>
              <w:t>Файл 19 Е 1</w:t>
            </w:r>
          </w:p>
          <w:p>
            <w:pPr>
              <w:pStyle w:val="Normal"/>
              <w:spacing w:lineRule="auto" w:line="240" w:before="0" w:after="0"/>
              <w:rPr>
                <w:rFonts w:ascii="Times New Roman" w:hAnsi="Times New Roman"/>
                <w:b/>
                <w:b/>
                <w:color w:val="0000FF"/>
                <w:sz w:val="20"/>
                <w:szCs w:val="20"/>
                <w:lang w:eastAsia="ru-RU"/>
              </w:rPr>
            </w:pPr>
            <w:r>
              <w:rPr>
                <w:rFonts w:ascii="Times New Roman" w:hAnsi="Times New Roman"/>
                <w:b/>
                <w:color w:val="0000FF"/>
                <w:sz w:val="20"/>
                <w:szCs w:val="20"/>
                <w:lang w:eastAsia="ru-RU"/>
              </w:rPr>
            </w:r>
          </w:p>
        </w:tc>
      </w:tr>
      <w:tr>
        <w:trPr/>
        <w:tc>
          <w:tcPr>
            <w:tcW w:w="839" w:type="dxa"/>
            <w:tcBorders>
              <w:left w:val="single" w:sz="6" w:space="0" w:color="E9ECF1"/>
            </w:tcBorders>
            <w:shd w:fill="auto"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19</w:t>
            </w:r>
          </w:p>
        </w:tc>
        <w:tc>
          <w:tcPr>
            <w:tcW w:w="1260" w:type="dxa"/>
            <w:tcBorders/>
            <w:shd w:fill="auto"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ж</w:t>
            </w:r>
          </w:p>
        </w:tc>
        <w:tc>
          <w:tcPr>
            <w:tcW w:w="1079" w:type="dxa"/>
            <w:tcBorders/>
            <w:shd w:fill="auto"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3779" w:type="dxa"/>
            <w:gridSpan w:val="2"/>
            <w:tcBorders/>
            <w:shd w:fill="auto" w:val="clear"/>
            <w:tcMar>
              <w:top w:w="57" w:type="dxa"/>
              <w:left w:w="57" w:type="dxa"/>
              <w:bottom w:w="57" w:type="dxa"/>
              <w:right w:w="57"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2 раза в год предоставляется субъектам оперативно-диспетчерского управления, в конце каждого полугодия текущего года</w:t>
            </w:r>
          </w:p>
        </w:tc>
        <w:tc>
          <w:tcPr>
            <w:tcW w:w="5219" w:type="dxa"/>
            <w:gridSpan w:val="3"/>
            <w:tcBorders/>
            <w:shd w:fill="auto" w:val="clear"/>
            <w:tcMar>
              <w:left w:w="0" w:type="dxa"/>
              <w:right w:w="22"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19 ж) о результатах контрольных замеров электрических параметров режимов работы оборудования объектов электросетевого хозяйства</w:t>
            </w:r>
          </w:p>
        </w:tc>
        <w:tc>
          <w:tcPr>
            <w:tcW w:w="2523" w:type="dxa"/>
            <w:gridSpan w:val="2"/>
            <w:tcBorders>
              <w:right w:val="single" w:sz="6" w:space="0" w:color="E9ECF1"/>
            </w:tcBorders>
            <w:shd w:fill="auto" w:val="clear"/>
            <w:vAlign w:val="center"/>
          </w:tcPr>
          <w:p>
            <w:pPr>
              <w:pStyle w:val="Normal"/>
              <w:spacing w:lineRule="auto" w:line="240" w:before="0" w:after="0"/>
              <w:rPr>
                <w:b/>
                <w:b/>
                <w:color w:val="0000FF"/>
              </w:rPr>
            </w:pPr>
            <w:r>
              <w:rPr>
                <w:b/>
              </w:rPr>
              <w:t>Файл 19 Ж</w:t>
            </w:r>
            <w:r>
              <w:rPr>
                <w:b/>
                <w:color w:val="0000FF"/>
              </w:rPr>
              <w:t xml:space="preserve">  </w:t>
            </w:r>
          </w:p>
          <w:p>
            <w:pPr>
              <w:pStyle w:val="Normal"/>
              <w:spacing w:lineRule="auto" w:line="240" w:before="0" w:after="0"/>
              <w:rPr>
                <w:b/>
                <w:b/>
                <w:color w:val="0000FF"/>
              </w:rPr>
            </w:pPr>
            <w:r>
              <w:rPr>
                <w:b/>
                <w:color w:val="0000FF"/>
              </w:rPr>
            </w:r>
          </w:p>
          <w:p>
            <w:pPr>
              <w:pStyle w:val="Normal"/>
              <w:spacing w:lineRule="auto" w:line="240" w:before="0" w:after="0"/>
              <w:rPr>
                <w:b/>
                <w:b/>
              </w:rPr>
            </w:pPr>
            <w:r>
              <w:rPr>
                <w:rFonts w:ascii="Times New Roman" w:hAnsi="Times New Roman"/>
                <w:b/>
                <w:sz w:val="20"/>
                <w:szCs w:val="20"/>
                <w:lang w:eastAsia="ru-RU"/>
              </w:rPr>
              <w:t>Ссылка в конце каждого полугодия текущего года</w:t>
            </w:r>
          </w:p>
        </w:tc>
      </w:tr>
      <w:tr>
        <w:trPr/>
        <w:tc>
          <w:tcPr>
            <w:tcW w:w="839" w:type="dxa"/>
            <w:tcBorders>
              <w:left w:val="single" w:sz="6" w:space="0" w:color="E9ECF1"/>
            </w:tcBorders>
            <w:shd w:fill="auto"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19</w:t>
            </w:r>
          </w:p>
        </w:tc>
        <w:tc>
          <w:tcPr>
            <w:tcW w:w="1260" w:type="dxa"/>
            <w:tcBorders/>
            <w:shd w:fill="auto"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з</w:t>
            </w:r>
          </w:p>
        </w:tc>
        <w:tc>
          <w:tcPr>
            <w:tcW w:w="1079" w:type="dxa"/>
            <w:tcBorders/>
            <w:shd w:fill="auto"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3779" w:type="dxa"/>
            <w:gridSpan w:val="2"/>
            <w:tcBorders/>
            <w:shd w:fill="auto" w:val="clear"/>
            <w:tcMar>
              <w:top w:w="57" w:type="dxa"/>
              <w:left w:w="57" w:type="dxa"/>
              <w:bottom w:w="57" w:type="dxa"/>
              <w:right w:w="57"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r>
              <w:rPr>
                <w:rFonts w:ascii="Times New Roman" w:hAnsi="Times New Roman"/>
                <w:sz w:val="20"/>
                <w:szCs w:val="20"/>
                <w:lang w:eastAsia="ru-RU"/>
              </w:rPr>
              <w:t>ежегодно, до 1 марта</w:t>
            </w:r>
          </w:p>
        </w:tc>
        <w:tc>
          <w:tcPr>
            <w:tcW w:w="5219" w:type="dxa"/>
            <w:gridSpan w:val="3"/>
            <w:tcBorders/>
            <w:shd w:fill="auto" w:val="clear"/>
            <w:tcMar>
              <w:left w:w="0" w:type="dxa"/>
              <w:right w:w="22"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19 з) об условиях, на которых осуществляется поставка регулируемых товаров, работ и услуг субъектами естественных монополий, и (или) условиях договоров об осуществлении технологического присоединения к электрическим сетям с указанием типовых форм договоров об оказании услуг по передаче электрической энергии, типовых договоров об осуществлении технологического присоединения к электрическим сетям и источника официального опубликования нормативного правового акта, регулирующего условия этих договоров;</w:t>
            </w:r>
          </w:p>
        </w:tc>
        <w:tc>
          <w:tcPr>
            <w:tcW w:w="2523" w:type="dxa"/>
            <w:gridSpan w:val="2"/>
            <w:tcBorders>
              <w:right w:val="single" w:sz="6" w:space="0" w:color="E9ECF1"/>
            </w:tcBorders>
            <w:shd w:fill="auto" w:val="clear"/>
            <w:vAlign w:val="center"/>
          </w:tcPr>
          <w:p>
            <w:pPr>
              <w:pStyle w:val="Normal"/>
              <w:spacing w:lineRule="auto" w:line="240" w:before="0" w:after="0"/>
              <w:rPr/>
            </w:pPr>
            <w:r>
              <w:rPr>
                <w:b/>
              </w:rPr>
              <w:t>Файл 19 Д</w:t>
            </w:r>
            <w:r>
              <w:rPr/>
              <w:t xml:space="preserve"> </w:t>
            </w:r>
            <w:r>
              <w:rPr>
                <w:b/>
              </w:rPr>
              <w:t>1</w:t>
            </w:r>
          </w:p>
          <w:p>
            <w:pPr>
              <w:pStyle w:val="Normal"/>
              <w:spacing w:lineRule="auto" w:line="240" w:before="0" w:after="0"/>
              <w:rPr/>
            </w:pPr>
            <w:r>
              <w:rPr>
                <w:b/>
              </w:rPr>
              <w:t>Файл 19 Д 2</w:t>
            </w:r>
          </w:p>
          <w:p>
            <w:pPr>
              <w:pStyle w:val="Normal"/>
              <w:spacing w:lineRule="auto" w:line="240" w:before="0" w:after="0"/>
              <w:rPr/>
            </w:pPr>
            <w:r>
              <w:rPr>
                <w:b/>
              </w:rPr>
              <w:t>Файл 19 Д 3</w:t>
            </w:r>
          </w:p>
          <w:p>
            <w:pPr>
              <w:pStyle w:val="Normal"/>
              <w:spacing w:lineRule="auto" w:line="240" w:before="0" w:after="0"/>
              <w:rPr/>
            </w:pPr>
            <w:r>
              <w:rPr>
                <w:b/>
              </w:rPr>
              <w:t>Файл 19 Д 4</w:t>
            </w:r>
          </w:p>
          <w:p>
            <w:pPr>
              <w:pStyle w:val="Normal"/>
              <w:spacing w:lineRule="auto" w:line="240" w:before="0" w:after="0"/>
              <w:rPr/>
            </w:pPr>
            <w:r>
              <w:rPr>
                <w:b/>
              </w:rPr>
              <w:t>Файл 19 Д 5</w:t>
            </w:r>
          </w:p>
          <w:p>
            <w:pPr>
              <w:pStyle w:val="Normal"/>
              <w:spacing w:lineRule="auto" w:line="240" w:before="0" w:after="0"/>
              <w:rPr>
                <w:b/>
                <w:b/>
              </w:rPr>
            </w:pPr>
            <w:r>
              <w:rPr>
                <w:b/>
              </w:rPr>
              <w:t xml:space="preserve">Файл 19 Д 6 </w:t>
            </w:r>
          </w:p>
          <w:p>
            <w:pPr>
              <w:pStyle w:val="Normal"/>
              <w:spacing w:lineRule="auto" w:line="240" w:before="0" w:after="0"/>
              <w:rPr/>
            </w:pPr>
            <w:r>
              <w:rPr>
                <w:b/>
              </w:rPr>
              <w:t>Файл 19 Д 7</w:t>
            </w:r>
          </w:p>
          <w:p>
            <w:pPr>
              <w:pStyle w:val="Normal"/>
              <w:spacing w:lineRule="auto" w:line="240" w:before="0" w:after="0"/>
              <w:rPr>
                <w:rFonts w:ascii="Times New Roman" w:hAnsi="Times New Roman"/>
                <w:color w:val="0000FF"/>
                <w:sz w:val="20"/>
                <w:szCs w:val="20"/>
                <w:lang w:eastAsia="ru-RU"/>
              </w:rPr>
            </w:pPr>
            <w:r>
              <w:rPr>
                <w:rFonts w:ascii="Times New Roman" w:hAnsi="Times New Roman"/>
                <w:color w:val="0000FF"/>
                <w:sz w:val="20"/>
                <w:szCs w:val="20"/>
                <w:lang w:eastAsia="ru-RU"/>
              </w:rPr>
            </w:r>
          </w:p>
        </w:tc>
      </w:tr>
      <w:tr>
        <w:trPr/>
        <w:tc>
          <w:tcPr>
            <w:tcW w:w="839" w:type="dxa"/>
            <w:tcBorders>
              <w:left w:val="single" w:sz="6" w:space="0" w:color="E9ECF1"/>
            </w:tcBorders>
            <w:shd w:fill="auto"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260" w:type="dxa"/>
            <w:tcBorders/>
            <w:shd w:fill="auto"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079" w:type="dxa"/>
            <w:tcBorders/>
            <w:shd w:fill="auto"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3779" w:type="dxa"/>
            <w:gridSpan w:val="2"/>
            <w:tcBorders/>
            <w:shd w:fill="auto" w:val="clear"/>
            <w:tcMar>
              <w:top w:w="57" w:type="dxa"/>
              <w:left w:w="57" w:type="dxa"/>
              <w:bottom w:w="57" w:type="dxa"/>
              <w:right w:w="57"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в течение 7 дней со дня поступления письменного запроса</w:t>
            </w:r>
          </w:p>
        </w:tc>
        <w:tc>
          <w:tcPr>
            <w:tcW w:w="5219" w:type="dxa"/>
            <w:gridSpan w:val="3"/>
            <w:tcBorders/>
            <w:shd w:fill="auto" w:val="clear"/>
            <w:tcMar>
              <w:left w:w="0" w:type="dxa"/>
              <w:right w:w="22"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В отношении подстанций и распределительных пунктов напряжением ниже 35 кВ:</w:t>
            </w:r>
          </w:p>
        </w:tc>
        <w:tc>
          <w:tcPr>
            <w:tcW w:w="2523" w:type="dxa"/>
            <w:gridSpan w:val="2"/>
            <w:tcBorders>
              <w:right w:val="single" w:sz="6" w:space="0" w:color="E9ECF1"/>
            </w:tcBorders>
            <w:shd w:fill="auto" w:val="clear"/>
            <w:vAlign w:val="center"/>
          </w:tcPr>
          <w:p>
            <w:pPr>
              <w:pStyle w:val="Normal"/>
              <w:spacing w:lineRule="auto" w:line="240" w:before="0" w:after="0"/>
              <w:rPr>
                <w:rFonts w:ascii="Times New Roman" w:hAnsi="Times New Roman"/>
                <w:b/>
                <w:b/>
                <w:sz w:val="20"/>
                <w:szCs w:val="20"/>
                <w:lang w:eastAsia="ru-RU"/>
              </w:rPr>
            </w:pPr>
            <w:r>
              <w:rPr>
                <w:rFonts w:ascii="Times New Roman" w:hAnsi="Times New Roman"/>
                <w:b/>
                <w:sz w:val="20"/>
                <w:szCs w:val="20"/>
                <w:lang w:eastAsia="ru-RU"/>
              </w:rPr>
              <w:t>Ссылка при наличии запроса</w:t>
            </w:r>
          </w:p>
        </w:tc>
      </w:tr>
      <w:tr>
        <w:trPr/>
        <w:tc>
          <w:tcPr>
            <w:tcW w:w="839" w:type="dxa"/>
            <w:tcBorders>
              <w:left w:val="single" w:sz="6" w:space="0" w:color="E9ECF1"/>
            </w:tcBorders>
            <w:shd w:fill="auto" w:val="clear"/>
            <w:tcMar>
              <w:top w:w="0" w:type="dxa"/>
              <w:bottom w:w="0" w:type="dxa"/>
            </w:tcMar>
            <w:vAlign w:val="cente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t>19</w:t>
            </w:r>
          </w:p>
        </w:tc>
        <w:tc>
          <w:tcPr>
            <w:tcW w:w="1260" w:type="dxa"/>
            <w:tcBorders/>
            <w:shd w:fill="auto" w:val="clear"/>
            <w:tcMar>
              <w:top w:w="0" w:type="dxa"/>
              <w:bottom w:w="0" w:type="dxa"/>
            </w:tcMar>
            <w:vAlign w:val="cente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t>и</w:t>
            </w:r>
          </w:p>
        </w:tc>
        <w:tc>
          <w:tcPr>
            <w:tcW w:w="1079" w:type="dxa"/>
            <w:tcBorders/>
            <w:shd w:fill="auto"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3779" w:type="dxa"/>
            <w:gridSpan w:val="2"/>
            <w:tcBorders/>
            <w:shd w:fill="auto" w:val="clear"/>
            <w:tcMar>
              <w:top w:w="57" w:type="dxa"/>
              <w:left w:w="57" w:type="dxa"/>
              <w:bottom w:w="57" w:type="dxa"/>
              <w:right w:w="57"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ежегодно, до 1 марта</w:t>
            </w:r>
          </w:p>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xml:space="preserve"> </w:t>
            </w:r>
          </w:p>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r>
          </w:p>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в течение 5 рабочих дней со дня изменений</w:t>
            </w:r>
          </w:p>
        </w:tc>
        <w:tc>
          <w:tcPr>
            <w:tcW w:w="5219" w:type="dxa"/>
            <w:gridSpan w:val="3"/>
            <w:tcBorders/>
            <w:shd w:fill="auto" w:val="clear"/>
            <w:tcMar>
              <w:left w:w="0" w:type="dxa"/>
              <w:right w:w="22"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19 и) о порядке выполнения технологических, технических и других мероприятий, связанных с технологическим присоединением к электрическим сетям, включая перечень мероприятий, необходимых для осуществления технологического присоединения к электрическим сетям, и порядок выполнения этих мероприятий с указанием ссылок на нормативные правовые акты;</w:t>
            </w:r>
          </w:p>
        </w:tc>
        <w:tc>
          <w:tcPr>
            <w:tcW w:w="2523" w:type="dxa"/>
            <w:gridSpan w:val="2"/>
            <w:tcBorders>
              <w:right w:val="single" w:sz="6" w:space="0" w:color="E9ECF1"/>
            </w:tcBorders>
            <w:shd w:fill="auto" w:val="clear"/>
            <w:vAlign w:val="center"/>
          </w:tcPr>
          <w:p>
            <w:pPr>
              <w:pStyle w:val="Normal"/>
              <w:spacing w:lineRule="auto" w:line="240" w:before="0" w:after="0"/>
              <w:rPr/>
            </w:pPr>
            <w:r>
              <w:rPr>
                <w:b/>
              </w:rPr>
              <w:t>Файл 19 И 1</w:t>
            </w:r>
          </w:p>
          <w:p>
            <w:pPr>
              <w:pStyle w:val="Normal"/>
              <w:spacing w:lineRule="auto" w:line="240" w:before="0" w:after="0"/>
              <w:rPr>
                <w:b/>
                <w:b/>
                <w:color w:val="0000FF"/>
              </w:rPr>
            </w:pPr>
            <w:r>
              <w:rPr>
                <w:b/>
                <w:color w:val="0000FF"/>
              </w:rPr>
            </w:r>
          </w:p>
          <w:p>
            <w:pPr>
              <w:pStyle w:val="Normal"/>
              <w:spacing w:lineRule="auto" w:line="240" w:before="0" w:after="0"/>
              <w:rPr>
                <w:rFonts w:ascii="Times New Roman" w:hAnsi="Times New Roman"/>
                <w:sz w:val="20"/>
                <w:szCs w:val="20"/>
                <w:lang w:eastAsia="ru-RU"/>
              </w:rPr>
            </w:pPr>
            <w:r>
              <w:rPr>
                <w:rFonts w:ascii="Times New Roman" w:hAnsi="Times New Roman"/>
                <w:b/>
                <w:sz w:val="20"/>
                <w:szCs w:val="20"/>
                <w:lang w:eastAsia="ru-RU"/>
              </w:rPr>
              <w:t>Ссылка при наличии изменений</w:t>
            </w:r>
          </w:p>
        </w:tc>
      </w:tr>
      <w:tr>
        <w:trPr/>
        <w:tc>
          <w:tcPr>
            <w:tcW w:w="839" w:type="dxa"/>
            <w:tcBorders>
              <w:left w:val="single" w:sz="6" w:space="0" w:color="E9ECF1"/>
            </w:tcBorders>
            <w:shd w:fill="auto" w:val="clear"/>
            <w:tcMar>
              <w:top w:w="0" w:type="dxa"/>
              <w:bottom w:w="0" w:type="dxa"/>
            </w:tcMar>
            <w:vAlign w:val="cente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t>19</w:t>
            </w:r>
          </w:p>
        </w:tc>
        <w:tc>
          <w:tcPr>
            <w:tcW w:w="1260" w:type="dxa"/>
            <w:tcBorders/>
            <w:shd w:fill="auto" w:val="clear"/>
            <w:tcMar>
              <w:top w:w="0" w:type="dxa"/>
              <w:bottom w:w="0" w:type="dxa"/>
            </w:tcMar>
            <w:vAlign w:val="cente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t>к</w:t>
            </w:r>
          </w:p>
        </w:tc>
        <w:tc>
          <w:tcPr>
            <w:tcW w:w="1079" w:type="dxa"/>
            <w:tcBorders/>
            <w:shd w:fill="auto"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3779" w:type="dxa"/>
            <w:gridSpan w:val="2"/>
            <w:tcBorders/>
            <w:shd w:fill="auto" w:val="clear"/>
            <w:tcMar>
              <w:top w:w="57" w:type="dxa"/>
              <w:left w:w="57" w:type="dxa"/>
              <w:bottom w:w="57" w:type="dxa"/>
              <w:right w:w="57"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подлежит опубликованию на официальном сайте сетевой организации или ином официальном сайте в сети "Интернет", определяемом Правительством Российской Федерации</w:t>
            </w:r>
          </w:p>
        </w:tc>
        <w:tc>
          <w:tcPr>
            <w:tcW w:w="5219" w:type="dxa"/>
            <w:gridSpan w:val="3"/>
            <w:tcBorders/>
            <w:shd w:fill="auto" w:val="clear"/>
            <w:tcMar>
              <w:left w:w="0" w:type="dxa"/>
              <w:right w:w="22"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19 к) о возможности подачи заявки на осуществление технологического присоединения энергопринимающих устройств заявителей, указанных в пунктах 12(1), 13 и 14 Правил технологического присоединения, к электрическим сетям классом напряжения до 10 кВ включительно посредством официального сайта сетевой организации или иного официального сайта в сети "Интернет", определяемого Правительством Российской Федерации;</w:t>
            </w:r>
          </w:p>
        </w:tc>
        <w:tc>
          <w:tcPr>
            <w:tcW w:w="2523" w:type="dxa"/>
            <w:gridSpan w:val="2"/>
            <w:tcBorders>
              <w:right w:val="single" w:sz="6" w:space="0" w:color="E9ECF1"/>
            </w:tcBorders>
            <w:shd w:fill="auto" w:val="clear"/>
            <w:vAlign w:val="center"/>
          </w:tcPr>
          <w:p>
            <w:pPr>
              <w:pStyle w:val="Normal"/>
              <w:spacing w:lineRule="auto" w:line="240" w:before="0" w:after="0"/>
              <w:rPr/>
            </w:pPr>
            <w:r>
              <w:rPr>
                <w:b/>
              </w:rPr>
              <w:t>Файл 19 К 1</w:t>
            </w:r>
          </w:p>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r>
      <w:tr>
        <w:trPr/>
        <w:tc>
          <w:tcPr>
            <w:tcW w:w="839" w:type="dxa"/>
            <w:tcBorders>
              <w:left w:val="single" w:sz="6" w:space="0" w:color="E9ECF1"/>
            </w:tcBorders>
            <w:shd w:fill="auto" w:val="clear"/>
            <w:tcMar>
              <w:top w:w="0" w:type="dxa"/>
              <w:bottom w:w="0" w:type="dxa"/>
            </w:tcMar>
            <w:vAlign w:val="cente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t>19</w:t>
            </w:r>
          </w:p>
        </w:tc>
        <w:tc>
          <w:tcPr>
            <w:tcW w:w="1260" w:type="dxa"/>
            <w:tcBorders/>
            <w:shd w:fill="auto" w:val="clear"/>
            <w:tcMar>
              <w:top w:w="0" w:type="dxa"/>
              <w:bottom w:w="0" w:type="dxa"/>
            </w:tcMar>
            <w:vAlign w:val="cente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t>л</w:t>
            </w:r>
          </w:p>
        </w:tc>
        <w:tc>
          <w:tcPr>
            <w:tcW w:w="1079" w:type="dxa"/>
            <w:tcBorders/>
            <w:shd w:fill="auto"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3779" w:type="dxa"/>
            <w:gridSpan w:val="2"/>
            <w:tcBorders/>
            <w:shd w:fill="auto" w:val="clear"/>
            <w:tcMar>
              <w:top w:w="57" w:type="dxa"/>
              <w:left w:w="57" w:type="dxa"/>
              <w:bottom w:w="57" w:type="dxa"/>
              <w:right w:w="57"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подлежит доведению до сведения заявителей с момента поступления заявки на технологическое присоединение и совершения сетевой организацией дальнейших юридически значимых действий по рассмотрению этой заявки, заключению и исполнению договора об осуществлении технологического присоединения в отношении каждой заявки, поступающей в сетевую организацию, с использованием личного кабинета заявителя на официальном сайте сетевой организации или ином официальном сайте в сети "Интернет", определяемом Правительством Российской Федерации. Порядок создания личного кабинета определяется сетевой организацией самостоятельно.</w:t>
            </w:r>
          </w:p>
        </w:tc>
        <w:tc>
          <w:tcPr>
            <w:tcW w:w="5219" w:type="dxa"/>
            <w:gridSpan w:val="3"/>
            <w:tcBorders/>
            <w:shd w:fill="auto" w:val="clear"/>
            <w:tcMar>
              <w:left w:w="0" w:type="dxa"/>
              <w:right w:w="22"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19 л) об основных этапах обработки заявок юридических и физических лиц и индивидуальных предпринимателей на технологическое присоединение к электрическим сетям, включая информацию о дате поступления заявки, и ее регистрационном номере, о направлении в адрес заявителей подписанного со стороны сетевой организации договора об осуществлении технологического присоединения к электрическим сетям и технических условий, о дате заключения договора, о ходе выполнения сетевой организацией технических условий, о фактическом присоединении и фактическом приеме (подаче)напряжения и мощности на объекты заявителя, а так же информацию о составлении и подписании документов о технологическом присоединении;</w:t>
            </w:r>
          </w:p>
        </w:tc>
        <w:tc>
          <w:tcPr>
            <w:tcW w:w="2523" w:type="dxa"/>
            <w:gridSpan w:val="2"/>
            <w:tcBorders>
              <w:right w:val="single" w:sz="6" w:space="0" w:color="E9ECF1"/>
            </w:tcBorders>
            <w:shd w:fill="auto" w:val="clear"/>
            <w:vAlign w:val="center"/>
          </w:tcPr>
          <w:p>
            <w:pPr>
              <w:pStyle w:val="Normal"/>
              <w:spacing w:lineRule="auto" w:line="240" w:before="0" w:after="0"/>
              <w:rPr/>
            </w:pPr>
            <w:r>
              <w:rPr>
                <w:b/>
              </w:rPr>
              <w:t>Файл 19 Л</w:t>
            </w:r>
          </w:p>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r>
      <w:tr>
        <w:trPr/>
        <w:tc>
          <w:tcPr>
            <w:tcW w:w="839" w:type="dxa"/>
            <w:tcBorders>
              <w:left w:val="single" w:sz="6" w:space="0" w:color="E9ECF1"/>
            </w:tcBorders>
            <w:shd w:color="auto" w:fill="E9ECF1" w:val="clear"/>
            <w:tcMar>
              <w:top w:w="0" w:type="dxa"/>
              <w:bottom w:w="0" w:type="dxa"/>
            </w:tcMar>
            <w:vAlign w:val="cente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t>19</w:t>
            </w:r>
          </w:p>
        </w:tc>
        <w:tc>
          <w:tcPr>
            <w:tcW w:w="1260" w:type="dxa"/>
            <w:tcBorders/>
            <w:shd w:color="auto" w:fill="E9ECF1" w:val="clear"/>
            <w:tcMar>
              <w:top w:w="0" w:type="dxa"/>
              <w:bottom w:w="0" w:type="dxa"/>
            </w:tcMar>
            <w:vAlign w:val="cente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t>м</w:t>
            </w:r>
          </w:p>
        </w:tc>
        <w:tc>
          <w:tcPr>
            <w:tcW w:w="1079" w:type="dxa"/>
            <w:tcBorders/>
            <w:shd w:color="auto" w:fill="E9ECF1" w:val="clear"/>
            <w:tcMar>
              <w:top w:w="0" w:type="dxa"/>
              <w:bottom w:w="0" w:type="dxa"/>
            </w:tcMar>
            <w:vAlign w:val="cente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t>1</w:t>
            </w:r>
          </w:p>
        </w:tc>
        <w:tc>
          <w:tcPr>
            <w:tcW w:w="3779" w:type="dxa"/>
            <w:gridSpan w:val="2"/>
            <w:tcBorders/>
            <w:shd w:color="auto" w:fill="E9ECF1" w:val="clear"/>
            <w:tcMar>
              <w:top w:w="57" w:type="dxa"/>
              <w:left w:w="57" w:type="dxa"/>
              <w:bottom w:w="57" w:type="dxa"/>
              <w:right w:w="57"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ежегодно до 1 марта   или в сроки, предусмотренные Правилами утверждения инвестиционных программ субъектов электроэнергетики для раскрытия информации о проекте внесения изменений в инвестиционную программу, и обновляется в сроки, установленные Правилами утверждения инвестиционных программ субъектов электроэнергетики.</w:t>
            </w:r>
          </w:p>
        </w:tc>
        <w:tc>
          <w:tcPr>
            <w:tcW w:w="5219" w:type="dxa"/>
            <w:gridSpan w:val="3"/>
            <w:tcBorders/>
            <w:shd w:color="auto" w:fill="E9ECF1" w:val="clear"/>
            <w:tcMar>
              <w:left w:w="0" w:type="dxa"/>
              <w:right w:w="22"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19 м) об инвестиционной программе (о проекте инвестиционной программы и (или) проекте изменений, вносимых в инвестиционную программу (далее - проект инвестиционной программы), и обосновывающих ее материалах (за исключением сведений, составляющих государственную тайну), включая:</w:t>
            </w:r>
          </w:p>
        </w:tc>
        <w:tc>
          <w:tcPr>
            <w:tcW w:w="2523" w:type="dxa"/>
            <w:gridSpan w:val="2"/>
            <w:tcBorders>
              <w:right w:val="single" w:sz="6" w:space="0" w:color="E9ECF1"/>
            </w:tcBorders>
            <w:shd w:color="auto" w:fill="E9ECF1" w:val="clear"/>
            <w:vAlign w:val="center"/>
          </w:tcPr>
          <w:p>
            <w:pPr>
              <w:pStyle w:val="Normal"/>
              <w:spacing w:lineRule="auto" w:line="240" w:before="0" w:after="0"/>
              <w:rPr>
                <w:rFonts w:ascii="Times New Roman" w:hAnsi="Times New Roman"/>
                <w:b/>
                <w:b/>
                <w:sz w:val="20"/>
                <w:szCs w:val="20"/>
                <w:lang w:eastAsia="ru-RU"/>
              </w:rPr>
            </w:pPr>
            <w:r>
              <w:rPr>
                <w:rFonts w:ascii="Times New Roman" w:hAnsi="Times New Roman"/>
                <w:b/>
                <w:sz w:val="20"/>
                <w:szCs w:val="20"/>
                <w:lang w:eastAsia="ru-RU"/>
              </w:rPr>
              <w:t>Инвестиционная программа отсутствует</w:t>
            </w:r>
          </w:p>
        </w:tc>
      </w:tr>
      <w:tr>
        <w:trPr/>
        <w:tc>
          <w:tcPr>
            <w:tcW w:w="839" w:type="dxa"/>
            <w:tcBorders>
              <w:left w:val="single" w:sz="6" w:space="0" w:color="E9ECF1"/>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260" w:type="dxa"/>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079" w:type="dxa"/>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2</w:t>
            </w:r>
          </w:p>
        </w:tc>
        <w:tc>
          <w:tcPr>
            <w:tcW w:w="3779" w:type="dxa"/>
            <w:gridSpan w:val="2"/>
            <w:tcBorders/>
            <w:shd w:color="auto" w:fill="FFFFFF" w:val="clear"/>
            <w:tcMar>
              <w:top w:w="57" w:type="dxa"/>
              <w:left w:w="57" w:type="dxa"/>
              <w:bottom w:w="57" w:type="dxa"/>
              <w:right w:w="57"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5219" w:type="dxa"/>
            <w:gridSpan w:val="3"/>
            <w:tcBorders/>
            <w:shd w:color="auto" w:fill="FFFFFF" w:val="clear"/>
            <w:tcMar>
              <w:left w:w="0" w:type="dxa"/>
              <w:right w:w="22"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перечни инвестиционных проектов на период реализации инвестиционной программы (проекта инвестиционной программы), реализуемых с использованием инвестиционных ресурсов, включаемых в регулируемые государством цены (тарифы), и инвестиционных проектов, реализуемых без использования таких инвестиционных ресурсов, с указанием идентификаторов инвестиционных проектов, одной или нескольких целей реализации инвестиционных проектов (развитие электрической сети, усиление электрической сети, связанное с подключением новых потребителей, замещение (обновление) электрической сети, повышение надежности оказываемых услуг в сфере электроэнергетики, повышение качества оказываемых услуг в сфере электроэнергетики, выполнение требований законодательства Российской Федерации, предписаний органов исполнительной власти, регламентов рынков электрической энергии, повышение экономической эффективности (мероприятия, направленные на снижение эксплуатационных затрат) оказания услуг в сфере электроэнергетики, обеспечение текущей деятельности в сфере электроэнергетики (в том числе развитие информационной инфраструктуры, хозяйственное обеспечение деятельности), инвестиции, связанные с деятельностью, не относящейся к сфере электроэнергетики) и плановых значений количественных показателей инвестиционной программы (проекта инвестиционной программы), указанных для каждого года ее реализации, в том числе показателей, характеризующих достижение указанных целей инвестиционной программы (проекта инвестиционной программы) по отдельным проектам (группам проектов, инвестиционной программе в целом). Под идентификатором инвестиционного проекта понимаются уникальное цифровое, буквенное, символьное обозначение или комбинации таких обозначений, включая коды, предназначенные для однозначного определения (идентификации) инвестиционного проекта. Идентификатор инвестиционного проекта определяется субъектом рынков электрической энергии однократно в соответствии с методическими указаниями по определению субъектами рынков идентификаторов инвестиционных проектов, утвержденными Министерством энергетики Российской Федерации, и не подлежит изменению. Организация по управлению единой национальной (общероссийской) электрической сетью формирует указанные перечни инвестиционных проектов с распределением на инвестиционные проекты, по результатам выполнения которых обеспечивается соответствие объектов электроэнергетики, на строительство (реконструкцию, модернизацию) которых направлена реализация указанных инвестиционных проектов, критериям отнесения объектов электросетевого хозяйства к единой национальной (общероссийской) электрической сети, утвержденным постановлением Правительства Российской Федерации от 26 января 2006 г. N 41 "О критериях отнесения объектов электросетевого хозяйства к единой национальной (общероссийской) электрической сети", а также на иные инвестиционные проекты. Перечень и порядок расчета количественных показателей инвестиционной программы (проекта инвестиционной программы) определяются в соответствии с методическими указаниями, утвержденными Министерством энергетики Российской Федерации;</w:t>
            </w:r>
          </w:p>
        </w:tc>
        <w:tc>
          <w:tcPr>
            <w:tcW w:w="2523" w:type="dxa"/>
            <w:gridSpan w:val="2"/>
            <w:tcBorders>
              <w:right w:val="single" w:sz="6" w:space="0" w:color="E9ECF1"/>
            </w:tcBorders>
            <w:shd w:color="auto" w:fill="FFFFFF" w:val="clear"/>
            <w:vAlign w:val="center"/>
          </w:tcPr>
          <w:p>
            <w:pPr>
              <w:pStyle w:val="Normal"/>
              <w:spacing w:lineRule="auto" w:line="240" w:before="0" w:after="0"/>
              <w:rPr>
                <w:rFonts w:ascii="Times New Roman" w:hAnsi="Times New Roman"/>
                <w:b/>
                <w:b/>
                <w:sz w:val="20"/>
                <w:szCs w:val="20"/>
                <w:lang w:eastAsia="ru-RU"/>
              </w:rPr>
            </w:pPr>
            <w:r>
              <w:rPr>
                <w:rFonts w:ascii="Times New Roman" w:hAnsi="Times New Roman"/>
                <w:b/>
                <w:sz w:val="20"/>
                <w:szCs w:val="20"/>
                <w:lang w:eastAsia="ru-RU"/>
              </w:rPr>
              <w:t>Инвестиционная программа отсутствует</w:t>
            </w:r>
          </w:p>
        </w:tc>
      </w:tr>
      <w:tr>
        <w:trPr/>
        <w:tc>
          <w:tcPr>
            <w:tcW w:w="839" w:type="dxa"/>
            <w:tcBorders>
              <w:left w:val="single" w:sz="6" w:space="0" w:color="E9ECF1"/>
            </w:tcBorders>
            <w:shd w:color="auto" w:fill="E9ECF1"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260" w:type="dxa"/>
            <w:tcBorders/>
            <w:shd w:color="auto" w:fill="E9ECF1"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079" w:type="dxa"/>
            <w:tcBorders/>
            <w:shd w:color="auto" w:fill="E9ECF1"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3</w:t>
            </w:r>
          </w:p>
        </w:tc>
        <w:tc>
          <w:tcPr>
            <w:tcW w:w="3779" w:type="dxa"/>
            <w:gridSpan w:val="2"/>
            <w:tcBorders/>
            <w:shd w:color="auto" w:fill="E9ECF1" w:val="clear"/>
            <w:tcMar>
              <w:top w:w="57" w:type="dxa"/>
              <w:left w:w="57" w:type="dxa"/>
              <w:bottom w:w="57" w:type="dxa"/>
              <w:right w:w="57"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5219" w:type="dxa"/>
            <w:gridSpan w:val="3"/>
            <w:tcBorders/>
            <w:shd w:color="auto" w:fill="E9ECF1" w:val="clear"/>
            <w:tcMar>
              <w:left w:w="0" w:type="dxa"/>
              <w:right w:w="22"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краткое описание инвестиционной программы (проекта инвестиционной программы) по основным направлениям инвестиционных проектов, в том числе с указанием целей и обоснования необходимости реализации инвестиционных проектов, вводимой (выводимой) мощности и (или) других характеристик объектов инвестиционной деятельности, места расположения объектов инвестиционной деятельности, сроков ввода (вывода) объектов инвестиционной деятельности, включая сроки ввода (вывода) объектов электроэнергетики, показателей энергетической эффективности оборудования и других показателей инвестиционных проектов инвестиционной программы (проекта инвестиционной программы);</w:t>
            </w:r>
          </w:p>
        </w:tc>
        <w:tc>
          <w:tcPr>
            <w:tcW w:w="2523" w:type="dxa"/>
            <w:gridSpan w:val="2"/>
            <w:tcBorders>
              <w:right w:val="single" w:sz="6" w:space="0" w:color="E9ECF1"/>
            </w:tcBorders>
            <w:shd w:color="auto" w:fill="E9ECF1" w:val="clear"/>
            <w:vAlign w:val="center"/>
          </w:tcPr>
          <w:p>
            <w:pPr>
              <w:pStyle w:val="Normal"/>
              <w:spacing w:lineRule="auto" w:line="240" w:before="0" w:after="0"/>
              <w:rPr>
                <w:rFonts w:ascii="Times New Roman" w:hAnsi="Times New Roman"/>
                <w:b/>
                <w:b/>
                <w:sz w:val="20"/>
                <w:szCs w:val="20"/>
                <w:lang w:eastAsia="ru-RU"/>
              </w:rPr>
            </w:pPr>
            <w:r>
              <w:rPr>
                <w:rFonts w:ascii="Times New Roman" w:hAnsi="Times New Roman"/>
                <w:b/>
                <w:sz w:val="20"/>
                <w:szCs w:val="20"/>
                <w:lang w:eastAsia="ru-RU"/>
              </w:rPr>
              <w:t>Инвестиционная программа отсутствует</w:t>
            </w:r>
          </w:p>
        </w:tc>
      </w:tr>
      <w:tr>
        <w:trPr/>
        <w:tc>
          <w:tcPr>
            <w:tcW w:w="839" w:type="dxa"/>
            <w:tcBorders>
              <w:left w:val="single" w:sz="6" w:space="0" w:color="E9ECF1"/>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260" w:type="dxa"/>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079" w:type="dxa"/>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4</w:t>
            </w:r>
          </w:p>
        </w:tc>
        <w:tc>
          <w:tcPr>
            <w:tcW w:w="3779" w:type="dxa"/>
            <w:gridSpan w:val="2"/>
            <w:tcBorders/>
            <w:shd w:color="auto" w:fill="FFFFFF" w:val="clear"/>
            <w:tcMar>
              <w:top w:w="57" w:type="dxa"/>
              <w:left w:w="57" w:type="dxa"/>
              <w:bottom w:w="57" w:type="dxa"/>
              <w:right w:w="57"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5219" w:type="dxa"/>
            <w:gridSpan w:val="3"/>
            <w:tcBorders/>
            <w:shd w:color="auto" w:fill="FFFFFF" w:val="clear"/>
            <w:tcMar>
              <w:left w:w="0" w:type="dxa"/>
              <w:right w:w="22"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план финансирования и освоения капитальных вложений по инвестиционным проектам в отношении каждого года периода реализации инвестиционной программы (проекта инвестиционной программы) с указанием по каждому инвестиционному проекту планируемых источников финансирования, полной и остаточной стоимости инвестиционных проектов (по состоянию на начало календарного года, в котором раскрывается инвестиционная программа (проект инвестиционной программы), плановых объемов финансирования и освоения капитальных вложений в отношении каждого года периода реализации инвестиционной программы (проекта инвестиционной программы); </w:t>
            </w:r>
          </w:p>
        </w:tc>
        <w:tc>
          <w:tcPr>
            <w:tcW w:w="2523" w:type="dxa"/>
            <w:gridSpan w:val="2"/>
            <w:tcBorders>
              <w:right w:val="single" w:sz="6" w:space="0" w:color="E9ECF1"/>
            </w:tcBorders>
            <w:shd w:color="auto" w:fill="FFFFFF" w:val="clear"/>
            <w:vAlign w:val="center"/>
          </w:tcPr>
          <w:p>
            <w:pPr>
              <w:pStyle w:val="Normal"/>
              <w:spacing w:lineRule="auto" w:line="240" w:before="0" w:after="0"/>
              <w:rPr>
                <w:rFonts w:ascii="Times New Roman" w:hAnsi="Times New Roman"/>
                <w:b/>
                <w:b/>
                <w:sz w:val="20"/>
                <w:szCs w:val="20"/>
                <w:lang w:eastAsia="ru-RU"/>
              </w:rPr>
            </w:pPr>
            <w:r>
              <w:rPr>
                <w:rFonts w:ascii="Times New Roman" w:hAnsi="Times New Roman"/>
                <w:b/>
                <w:sz w:val="20"/>
                <w:szCs w:val="20"/>
                <w:lang w:eastAsia="ru-RU"/>
              </w:rPr>
              <w:t>Инвестиционная программа отсутствует</w:t>
            </w:r>
          </w:p>
        </w:tc>
      </w:tr>
      <w:tr>
        <w:trPr/>
        <w:tc>
          <w:tcPr>
            <w:tcW w:w="839" w:type="dxa"/>
            <w:tcBorders>
              <w:left w:val="single" w:sz="6" w:space="0" w:color="E9ECF1"/>
            </w:tcBorders>
            <w:shd w:color="auto" w:fill="E9ECF1"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260" w:type="dxa"/>
            <w:tcBorders/>
            <w:shd w:color="auto" w:fill="E9ECF1"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079" w:type="dxa"/>
            <w:tcBorders/>
            <w:shd w:color="auto" w:fill="E9ECF1"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5</w:t>
            </w:r>
          </w:p>
        </w:tc>
        <w:tc>
          <w:tcPr>
            <w:tcW w:w="3779" w:type="dxa"/>
            <w:gridSpan w:val="2"/>
            <w:tcBorders/>
            <w:shd w:color="auto" w:fill="E9ECF1" w:val="clear"/>
            <w:tcMar>
              <w:top w:w="57" w:type="dxa"/>
              <w:left w:w="57" w:type="dxa"/>
              <w:bottom w:w="57" w:type="dxa"/>
              <w:right w:w="57"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5219" w:type="dxa"/>
            <w:gridSpan w:val="3"/>
            <w:tcBorders/>
            <w:shd w:color="auto" w:fill="E9ECF1" w:val="clear"/>
            <w:tcMar>
              <w:left w:w="0" w:type="dxa"/>
              <w:right w:w="22"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результаты расчетов объемов финансовых потребностей, необходимых для строительства (реконструкции)</w:t>
              <w:br/>
              <w:t>объектов электроэнергетики, выполненных в соответствии с укрупненными нормативами цены типовых технологических решений капитального строительства объектов электроэнергетики, утвержденными Министерством энергетики Российской Федерации, а также информацию об использованных при таких расчетах типовых технологических решениях капитального строительства объектов электроэнергетики, их технических показателях и о соответствующих им укрупненных нормативах цены;</w:t>
            </w:r>
          </w:p>
        </w:tc>
        <w:tc>
          <w:tcPr>
            <w:tcW w:w="2523" w:type="dxa"/>
            <w:gridSpan w:val="2"/>
            <w:tcBorders>
              <w:right w:val="single" w:sz="6" w:space="0" w:color="E9ECF1"/>
            </w:tcBorders>
            <w:shd w:color="auto" w:fill="E9ECF1" w:val="clear"/>
            <w:vAlign w:val="center"/>
          </w:tcPr>
          <w:p>
            <w:pPr>
              <w:pStyle w:val="Normal"/>
              <w:spacing w:lineRule="auto" w:line="240" w:before="0" w:after="0"/>
              <w:rPr>
                <w:rFonts w:ascii="Times New Roman" w:hAnsi="Times New Roman"/>
                <w:b/>
                <w:b/>
                <w:sz w:val="20"/>
                <w:szCs w:val="20"/>
                <w:lang w:eastAsia="ru-RU"/>
              </w:rPr>
            </w:pPr>
            <w:r>
              <w:rPr>
                <w:rFonts w:ascii="Times New Roman" w:hAnsi="Times New Roman"/>
                <w:b/>
                <w:sz w:val="20"/>
                <w:szCs w:val="20"/>
                <w:lang w:eastAsia="ru-RU"/>
              </w:rPr>
              <w:t>Инвестиционная программа отсутствует</w:t>
            </w:r>
          </w:p>
        </w:tc>
      </w:tr>
      <w:tr>
        <w:trPr/>
        <w:tc>
          <w:tcPr>
            <w:tcW w:w="839" w:type="dxa"/>
            <w:tcBorders>
              <w:left w:val="single" w:sz="6" w:space="0" w:color="E9ECF1"/>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260" w:type="dxa"/>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079" w:type="dxa"/>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6</w:t>
            </w:r>
          </w:p>
        </w:tc>
        <w:tc>
          <w:tcPr>
            <w:tcW w:w="3779" w:type="dxa"/>
            <w:gridSpan w:val="2"/>
            <w:tcBorders/>
            <w:shd w:color="auto" w:fill="FFFFFF" w:val="clear"/>
            <w:tcMar>
              <w:top w:w="57" w:type="dxa"/>
              <w:left w:w="57" w:type="dxa"/>
              <w:bottom w:w="57" w:type="dxa"/>
              <w:right w:w="57"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5219" w:type="dxa"/>
            <w:gridSpan w:val="3"/>
            <w:tcBorders/>
            <w:shd w:color="auto" w:fill="FFFFFF" w:val="clear"/>
            <w:tcMar>
              <w:left w:w="0" w:type="dxa"/>
              <w:right w:w="22"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план ввода основных средств в натуральном и стоимостном выражении с распределением по инвестиционным проектам, составленный на период реализации инвестиционной программы (проекта инвестиционной программы), в том числе с распределением по кварталам в первом году реализации инвестиционной программы (проекта инвестиционной программы) и году, в котором раскрывается инвестиционная программа (если применимо);</w:t>
            </w:r>
          </w:p>
        </w:tc>
        <w:tc>
          <w:tcPr>
            <w:tcW w:w="2523" w:type="dxa"/>
            <w:gridSpan w:val="2"/>
            <w:tcBorders>
              <w:right w:val="single" w:sz="6" w:space="0" w:color="E9ECF1"/>
            </w:tcBorders>
            <w:shd w:color="auto" w:fill="FFFFFF" w:val="clear"/>
            <w:vAlign w:val="center"/>
          </w:tcPr>
          <w:p>
            <w:pPr>
              <w:pStyle w:val="Normal"/>
              <w:spacing w:lineRule="auto" w:line="240" w:before="0" w:after="0"/>
              <w:rPr>
                <w:rFonts w:ascii="Times New Roman" w:hAnsi="Times New Roman"/>
                <w:b/>
                <w:b/>
                <w:sz w:val="20"/>
                <w:szCs w:val="20"/>
                <w:lang w:eastAsia="ru-RU"/>
              </w:rPr>
            </w:pPr>
            <w:r>
              <w:rPr>
                <w:rFonts w:ascii="Times New Roman" w:hAnsi="Times New Roman"/>
                <w:b/>
                <w:sz w:val="20"/>
                <w:szCs w:val="20"/>
                <w:lang w:eastAsia="ru-RU"/>
              </w:rPr>
              <w:t>Инвестиционная программа отсутствует</w:t>
            </w:r>
          </w:p>
        </w:tc>
      </w:tr>
      <w:tr>
        <w:trPr/>
        <w:tc>
          <w:tcPr>
            <w:tcW w:w="839" w:type="dxa"/>
            <w:tcBorders>
              <w:left w:val="single" w:sz="6" w:space="0" w:color="E9ECF1"/>
            </w:tcBorders>
            <w:shd w:color="auto" w:fill="E9ECF1"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260" w:type="dxa"/>
            <w:tcBorders/>
            <w:shd w:color="auto" w:fill="E9ECF1"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079" w:type="dxa"/>
            <w:tcBorders/>
            <w:shd w:color="auto" w:fill="E9ECF1"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7</w:t>
            </w:r>
          </w:p>
        </w:tc>
        <w:tc>
          <w:tcPr>
            <w:tcW w:w="3779" w:type="dxa"/>
            <w:gridSpan w:val="2"/>
            <w:tcBorders/>
            <w:shd w:color="auto" w:fill="E9ECF1" w:val="clear"/>
            <w:tcMar>
              <w:top w:w="57" w:type="dxa"/>
              <w:left w:w="57" w:type="dxa"/>
              <w:bottom w:w="57" w:type="dxa"/>
              <w:right w:w="57"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5219" w:type="dxa"/>
            <w:gridSpan w:val="3"/>
            <w:tcBorders/>
            <w:shd w:color="auto" w:fill="E9ECF1" w:val="clear"/>
            <w:tcMar>
              <w:left w:w="0" w:type="dxa"/>
              <w:right w:w="22"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финансовый план субъекта рынков электрической энергии, составленный на период реализации инвестиционной программы (проекта инвестиционной программы), начиная с первого года ее реализации с распределением по видам деятельности, в том числе регулируемым государством, а также с указанием источников и способов финансирования инвестиционной программы (проекта инвестиционной программы) и отчетных показателей исполнения финансового плана субъекта рынков электрической энергии за предыдущий и текущий годы;</w:t>
            </w:r>
          </w:p>
        </w:tc>
        <w:tc>
          <w:tcPr>
            <w:tcW w:w="2523" w:type="dxa"/>
            <w:gridSpan w:val="2"/>
            <w:tcBorders>
              <w:right w:val="single" w:sz="6" w:space="0" w:color="E9ECF1"/>
            </w:tcBorders>
            <w:shd w:color="auto" w:fill="E9ECF1" w:val="clear"/>
            <w:vAlign w:val="center"/>
          </w:tcPr>
          <w:p>
            <w:pPr>
              <w:pStyle w:val="Normal"/>
              <w:spacing w:lineRule="auto" w:line="240" w:before="0" w:after="0"/>
              <w:rPr>
                <w:rFonts w:ascii="Times New Roman" w:hAnsi="Times New Roman"/>
                <w:b/>
                <w:b/>
                <w:sz w:val="20"/>
                <w:szCs w:val="20"/>
                <w:lang w:eastAsia="ru-RU"/>
              </w:rPr>
            </w:pPr>
            <w:r>
              <w:rPr>
                <w:rFonts w:ascii="Times New Roman" w:hAnsi="Times New Roman"/>
                <w:b/>
                <w:sz w:val="20"/>
                <w:szCs w:val="20"/>
                <w:lang w:eastAsia="ru-RU"/>
              </w:rPr>
              <w:t>Инвестиционная программа отсутствует</w:t>
            </w:r>
          </w:p>
        </w:tc>
      </w:tr>
      <w:tr>
        <w:trPr/>
        <w:tc>
          <w:tcPr>
            <w:tcW w:w="839" w:type="dxa"/>
            <w:tcBorders>
              <w:left w:val="single" w:sz="6" w:space="0" w:color="E9ECF1"/>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260" w:type="dxa"/>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079" w:type="dxa"/>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8</w:t>
            </w:r>
          </w:p>
        </w:tc>
        <w:tc>
          <w:tcPr>
            <w:tcW w:w="3779" w:type="dxa"/>
            <w:gridSpan w:val="2"/>
            <w:tcBorders/>
            <w:shd w:color="auto" w:fill="FFFFFF" w:val="clear"/>
            <w:tcMar>
              <w:top w:w="57" w:type="dxa"/>
              <w:left w:w="57" w:type="dxa"/>
              <w:bottom w:w="57" w:type="dxa"/>
              <w:right w:w="57"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5219" w:type="dxa"/>
            <w:gridSpan w:val="3"/>
            <w:tcBorders/>
            <w:shd w:color="auto" w:fill="FFFFFF" w:val="clear"/>
            <w:tcMar>
              <w:left w:w="0" w:type="dxa"/>
              <w:right w:w="22"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перечень субъектов Российской Федерации, на территории которых инвестиционной программой (проектом инвестиционной программы) организации по управлению единой национальной (общероссийской) электрической сетью предусматривается строительство (реконструкция, модернизация и (или) техническое перевооружение) объектов электросетевого хозяйства, а также находятся объекты электросетевого хозяйства, входящие в единую национальную (общероссийскую) электрическую сеть и не принадлежащие на праве собственности указанной организации (раскрывается организацией по управлению единой национальной (общероссийской) электрической сетью);</w:t>
            </w:r>
          </w:p>
        </w:tc>
        <w:tc>
          <w:tcPr>
            <w:tcW w:w="2523" w:type="dxa"/>
            <w:gridSpan w:val="2"/>
            <w:tcBorders>
              <w:right w:val="single" w:sz="6" w:space="0" w:color="E9ECF1"/>
            </w:tcBorders>
            <w:shd w:color="auto" w:fill="FFFFFF" w:val="clear"/>
            <w:vAlign w:val="center"/>
          </w:tcPr>
          <w:p>
            <w:pPr>
              <w:pStyle w:val="Normal"/>
              <w:spacing w:lineRule="auto" w:line="240" w:before="0" w:after="0"/>
              <w:rPr>
                <w:rFonts w:ascii="Times New Roman" w:hAnsi="Times New Roman"/>
                <w:b/>
                <w:b/>
                <w:sz w:val="20"/>
                <w:szCs w:val="20"/>
                <w:lang w:eastAsia="ru-RU"/>
              </w:rPr>
            </w:pPr>
            <w:r>
              <w:rPr>
                <w:rFonts w:ascii="Times New Roman" w:hAnsi="Times New Roman"/>
                <w:b/>
                <w:sz w:val="20"/>
                <w:szCs w:val="20"/>
                <w:lang w:eastAsia="ru-RU"/>
              </w:rPr>
              <w:t>Инвестиционная программа отсутствует</w:t>
            </w:r>
          </w:p>
        </w:tc>
      </w:tr>
      <w:tr>
        <w:trPr/>
        <w:tc>
          <w:tcPr>
            <w:tcW w:w="839" w:type="dxa"/>
            <w:tcBorders>
              <w:left w:val="single" w:sz="6" w:space="0" w:color="E9ECF1"/>
            </w:tcBorders>
            <w:shd w:color="auto" w:fill="E9ECF1"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260" w:type="dxa"/>
            <w:tcBorders/>
            <w:shd w:color="auto" w:fill="E9ECF1"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079" w:type="dxa"/>
            <w:tcBorders/>
            <w:shd w:color="auto" w:fill="E9ECF1"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9</w:t>
            </w:r>
          </w:p>
        </w:tc>
        <w:tc>
          <w:tcPr>
            <w:tcW w:w="3779" w:type="dxa"/>
            <w:gridSpan w:val="2"/>
            <w:tcBorders/>
            <w:shd w:color="auto" w:fill="E9ECF1" w:val="clear"/>
            <w:tcMar>
              <w:top w:w="57" w:type="dxa"/>
              <w:left w:w="57" w:type="dxa"/>
              <w:bottom w:w="57" w:type="dxa"/>
              <w:right w:w="57"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5219" w:type="dxa"/>
            <w:gridSpan w:val="3"/>
            <w:tcBorders/>
            <w:shd w:color="auto" w:fill="E9ECF1" w:val="clear"/>
            <w:tcMar>
              <w:left w:w="0" w:type="dxa"/>
              <w:right w:w="22"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паспорта инвестиционных проектов, предусмотренных инвестиционной программой (проектом инвестиционной программы), содержащие информацию, предусмотренную пунктом 27 настоящего документа;</w:t>
            </w:r>
          </w:p>
        </w:tc>
        <w:tc>
          <w:tcPr>
            <w:tcW w:w="2523" w:type="dxa"/>
            <w:gridSpan w:val="2"/>
            <w:tcBorders>
              <w:right w:val="single" w:sz="6" w:space="0" w:color="E9ECF1"/>
            </w:tcBorders>
            <w:shd w:color="auto" w:fill="E9ECF1" w:val="clear"/>
            <w:vAlign w:val="center"/>
          </w:tcPr>
          <w:p>
            <w:pPr>
              <w:pStyle w:val="Normal"/>
              <w:spacing w:lineRule="auto" w:line="240" w:before="0" w:after="0"/>
              <w:rPr>
                <w:rFonts w:ascii="Times New Roman" w:hAnsi="Times New Roman"/>
                <w:b/>
                <w:b/>
                <w:sz w:val="20"/>
                <w:szCs w:val="20"/>
                <w:lang w:eastAsia="ru-RU"/>
              </w:rPr>
            </w:pPr>
            <w:r>
              <w:rPr>
                <w:rFonts w:ascii="Times New Roman" w:hAnsi="Times New Roman"/>
                <w:b/>
                <w:sz w:val="20"/>
                <w:szCs w:val="20"/>
                <w:lang w:eastAsia="ru-RU"/>
              </w:rPr>
              <w:t>Инвестиционная программа отсутствует</w:t>
            </w:r>
          </w:p>
        </w:tc>
      </w:tr>
      <w:tr>
        <w:trPr/>
        <w:tc>
          <w:tcPr>
            <w:tcW w:w="839" w:type="dxa"/>
            <w:tcBorders>
              <w:left w:val="single" w:sz="6" w:space="0" w:color="E9ECF1"/>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260" w:type="dxa"/>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079" w:type="dxa"/>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10</w:t>
            </w:r>
          </w:p>
        </w:tc>
        <w:tc>
          <w:tcPr>
            <w:tcW w:w="3779" w:type="dxa"/>
            <w:gridSpan w:val="2"/>
            <w:tcBorders/>
            <w:shd w:color="auto" w:fill="FFFFFF" w:val="clear"/>
            <w:tcMar>
              <w:top w:w="57" w:type="dxa"/>
              <w:left w:w="57" w:type="dxa"/>
              <w:bottom w:w="57" w:type="dxa"/>
              <w:right w:w="57"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5219" w:type="dxa"/>
            <w:gridSpan w:val="3"/>
            <w:tcBorders/>
            <w:shd w:color="auto" w:fill="FFFFFF" w:val="clear"/>
            <w:tcMar>
              <w:left w:w="0" w:type="dxa"/>
              <w:right w:w="22"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значения целевых показателей для целей формирования инвестиционной программы, установленные в порядке, утвержденном Министерством энергетики Российской Федерации;</w:t>
            </w:r>
          </w:p>
        </w:tc>
        <w:tc>
          <w:tcPr>
            <w:tcW w:w="2523" w:type="dxa"/>
            <w:gridSpan w:val="2"/>
            <w:tcBorders>
              <w:right w:val="single" w:sz="6" w:space="0" w:color="E9ECF1"/>
            </w:tcBorders>
            <w:shd w:color="auto" w:fill="FFFFFF" w:val="clear"/>
            <w:vAlign w:val="center"/>
          </w:tcPr>
          <w:p>
            <w:pPr>
              <w:pStyle w:val="Normal"/>
              <w:spacing w:lineRule="auto" w:line="240" w:before="0" w:after="0"/>
              <w:rPr>
                <w:rFonts w:ascii="Times New Roman" w:hAnsi="Times New Roman"/>
                <w:b/>
                <w:b/>
                <w:sz w:val="20"/>
                <w:szCs w:val="20"/>
                <w:lang w:eastAsia="ru-RU"/>
              </w:rPr>
            </w:pPr>
            <w:r>
              <w:rPr>
                <w:rFonts w:ascii="Times New Roman" w:hAnsi="Times New Roman"/>
                <w:b/>
                <w:sz w:val="20"/>
                <w:szCs w:val="20"/>
                <w:lang w:eastAsia="ru-RU"/>
              </w:rPr>
              <w:t>Инвестиционная программа отсутствует</w:t>
            </w:r>
          </w:p>
        </w:tc>
      </w:tr>
      <w:tr>
        <w:trPr/>
        <w:tc>
          <w:tcPr>
            <w:tcW w:w="839" w:type="dxa"/>
            <w:tcBorders>
              <w:left w:val="single" w:sz="6" w:space="0" w:color="E9ECF1"/>
            </w:tcBorders>
            <w:shd w:color="auto" w:fill="E9ECF1"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260" w:type="dxa"/>
            <w:tcBorders/>
            <w:shd w:color="auto" w:fill="E9ECF1"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079" w:type="dxa"/>
            <w:tcBorders/>
            <w:shd w:color="auto" w:fill="E9ECF1"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11</w:t>
            </w:r>
          </w:p>
        </w:tc>
        <w:tc>
          <w:tcPr>
            <w:tcW w:w="3779" w:type="dxa"/>
            <w:gridSpan w:val="2"/>
            <w:tcBorders/>
            <w:shd w:color="auto" w:fill="E9ECF1" w:val="clear"/>
            <w:tcMar>
              <w:top w:w="57" w:type="dxa"/>
              <w:left w:w="57" w:type="dxa"/>
              <w:bottom w:w="57" w:type="dxa"/>
              <w:right w:w="57"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5219" w:type="dxa"/>
            <w:gridSpan w:val="3"/>
            <w:tcBorders/>
            <w:shd w:color="auto" w:fill="E9ECF1" w:val="clear"/>
            <w:tcMar>
              <w:left w:w="0" w:type="dxa"/>
              <w:right w:w="22"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материалы, обосновывающие стоимость инвестиционных проектов, предусмотренных проектом инвестиционной программы, содержащие сводку затрат, сводный сметный расчет и пояснительную записку к сметной документации, разработанные в составе утвержденной в соответствии с законодательством о градостроительной деятельности проектной документации по инвестиционному проекту (далее утвержденная проектная документация), и копия решения об утверждении проектной документации, а при отсутствии утвержденной проектной документации - сметный расчет стоимости реализации инвестиционного проекта, составленный в ценах, сложившихся ко времени составления такого сметного расчета, в том числе с использованием укрупненных сметных нормативов и другой ценовой информации (в сметном расчете указываются использованные документы и источники ценовой информации), с приложением копий документов, использованных в качестве источников ценовой информации для подготовки сметного расчета (за исключением укрупненных сметных нормативов);</w:t>
            </w:r>
          </w:p>
        </w:tc>
        <w:tc>
          <w:tcPr>
            <w:tcW w:w="2523" w:type="dxa"/>
            <w:gridSpan w:val="2"/>
            <w:tcBorders>
              <w:right w:val="single" w:sz="6" w:space="0" w:color="E9ECF1"/>
            </w:tcBorders>
            <w:shd w:color="auto" w:fill="E9ECF1" w:val="clear"/>
            <w:vAlign w:val="center"/>
          </w:tcPr>
          <w:p>
            <w:pPr>
              <w:pStyle w:val="Normal"/>
              <w:spacing w:lineRule="auto" w:line="240" w:before="0" w:after="0"/>
              <w:rPr>
                <w:rFonts w:ascii="Times New Roman" w:hAnsi="Times New Roman"/>
                <w:b/>
                <w:b/>
                <w:sz w:val="20"/>
                <w:szCs w:val="20"/>
                <w:lang w:eastAsia="ru-RU"/>
              </w:rPr>
            </w:pPr>
            <w:r>
              <w:rPr>
                <w:rFonts w:ascii="Times New Roman" w:hAnsi="Times New Roman"/>
                <w:b/>
                <w:sz w:val="20"/>
                <w:szCs w:val="20"/>
                <w:lang w:eastAsia="ru-RU"/>
              </w:rPr>
              <w:t>Инвестиционная программа отсутствует</w:t>
            </w:r>
          </w:p>
        </w:tc>
      </w:tr>
      <w:tr>
        <w:trPr/>
        <w:tc>
          <w:tcPr>
            <w:tcW w:w="839" w:type="dxa"/>
            <w:tcBorders>
              <w:left w:val="single" w:sz="6" w:space="0" w:color="E9ECF1"/>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260" w:type="dxa"/>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079" w:type="dxa"/>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12</w:t>
            </w:r>
          </w:p>
        </w:tc>
        <w:tc>
          <w:tcPr>
            <w:tcW w:w="3779" w:type="dxa"/>
            <w:gridSpan w:val="2"/>
            <w:tcBorders/>
            <w:shd w:color="auto" w:fill="FFFFFF" w:val="clear"/>
            <w:tcMar>
              <w:top w:w="57" w:type="dxa"/>
              <w:left w:w="57" w:type="dxa"/>
              <w:bottom w:w="57" w:type="dxa"/>
              <w:right w:w="57"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5219" w:type="dxa"/>
            <w:gridSpan w:val="3"/>
            <w:tcBorders/>
            <w:shd w:color="auto" w:fill="FFFFFF" w:val="clear"/>
            <w:tcMar>
              <w:left w:w="0" w:type="dxa"/>
              <w:right w:w="22"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программу научно-исследовательских и (или) опытно-конструкторских работ на период реализации инвестиционной программы (проекта инвестиционной программы) с распределением по годам и описанием содержания работ (при наличии таковой);</w:t>
            </w:r>
          </w:p>
        </w:tc>
        <w:tc>
          <w:tcPr>
            <w:tcW w:w="2523" w:type="dxa"/>
            <w:gridSpan w:val="2"/>
            <w:tcBorders>
              <w:right w:val="single" w:sz="6" w:space="0" w:color="E9ECF1"/>
            </w:tcBorders>
            <w:shd w:color="auto" w:fill="FFFFFF" w:val="clear"/>
            <w:vAlign w:val="center"/>
          </w:tcPr>
          <w:p>
            <w:pPr>
              <w:pStyle w:val="Normal"/>
              <w:spacing w:lineRule="auto" w:line="240" w:before="0" w:after="0"/>
              <w:rPr>
                <w:rFonts w:ascii="Times New Roman" w:hAnsi="Times New Roman"/>
                <w:b/>
                <w:b/>
                <w:sz w:val="20"/>
                <w:szCs w:val="20"/>
                <w:lang w:eastAsia="ru-RU"/>
              </w:rPr>
            </w:pPr>
            <w:r>
              <w:rPr>
                <w:rFonts w:ascii="Times New Roman" w:hAnsi="Times New Roman"/>
                <w:b/>
                <w:sz w:val="20"/>
                <w:szCs w:val="20"/>
                <w:lang w:eastAsia="ru-RU"/>
              </w:rPr>
              <w:t>Инвестиционная программа отсутствует</w:t>
            </w:r>
          </w:p>
        </w:tc>
      </w:tr>
      <w:tr>
        <w:trPr/>
        <w:tc>
          <w:tcPr>
            <w:tcW w:w="839" w:type="dxa"/>
            <w:tcBorders>
              <w:left w:val="single" w:sz="6" w:space="0" w:color="E9ECF1"/>
            </w:tcBorders>
            <w:shd w:color="auto" w:fill="E9ECF1"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260" w:type="dxa"/>
            <w:tcBorders/>
            <w:shd w:color="auto" w:fill="E9ECF1"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079" w:type="dxa"/>
            <w:tcBorders/>
            <w:shd w:color="auto" w:fill="E9ECF1"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13</w:t>
            </w:r>
          </w:p>
        </w:tc>
        <w:tc>
          <w:tcPr>
            <w:tcW w:w="3779" w:type="dxa"/>
            <w:gridSpan w:val="2"/>
            <w:tcBorders/>
            <w:shd w:color="auto" w:fill="E9ECF1" w:val="clear"/>
            <w:tcMar>
              <w:top w:w="57" w:type="dxa"/>
              <w:left w:w="57" w:type="dxa"/>
              <w:bottom w:w="57" w:type="dxa"/>
              <w:right w:w="57"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5219" w:type="dxa"/>
            <w:gridSpan w:val="3"/>
            <w:tcBorders/>
            <w:shd w:color="auto" w:fill="E9ECF1" w:val="clear"/>
            <w:tcMar>
              <w:left w:w="0" w:type="dxa"/>
              <w:right w:w="22"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копию решения об одобрении проекта инвестиционной программы советом директоров (наблюдательным советом) сетевой организации, а при отсутствии совета директоров (наблюдательного совета) - коллегиальным (единоличным) исполнительным органом управления или иным уполномоченным органом сетевой организации (не раскрывается при опубликовании информации о проекте инвестиционной программы в случаях, если сроки раскрытия такой информации в соответствии с пунктом 29 настоящего документа предусмотрены Правилами утверждения инвестиционных программ субъектов электроэнергетики, утвержденными постановлением Правительства Российской Федерации от 1 декабря 2009 г. N 977 "Об инвестиционных программах субъектов электроэнергетики" (далее - Правила утверждения инвестиционных программ субъектов электроэнергетики);</w:t>
            </w:r>
          </w:p>
        </w:tc>
        <w:tc>
          <w:tcPr>
            <w:tcW w:w="2523" w:type="dxa"/>
            <w:gridSpan w:val="2"/>
            <w:tcBorders>
              <w:right w:val="single" w:sz="6" w:space="0" w:color="E9ECF1"/>
            </w:tcBorders>
            <w:shd w:color="auto" w:fill="E9ECF1" w:val="clear"/>
            <w:vAlign w:val="center"/>
          </w:tcPr>
          <w:p>
            <w:pPr>
              <w:pStyle w:val="Normal"/>
              <w:spacing w:lineRule="auto" w:line="240" w:before="0" w:after="0"/>
              <w:rPr>
                <w:rFonts w:ascii="Times New Roman" w:hAnsi="Times New Roman"/>
                <w:b/>
                <w:b/>
                <w:sz w:val="20"/>
                <w:szCs w:val="20"/>
                <w:lang w:eastAsia="ru-RU"/>
              </w:rPr>
            </w:pPr>
            <w:r>
              <w:rPr>
                <w:rFonts w:ascii="Times New Roman" w:hAnsi="Times New Roman"/>
                <w:b/>
                <w:sz w:val="20"/>
                <w:szCs w:val="20"/>
                <w:lang w:eastAsia="ru-RU"/>
              </w:rPr>
              <w:t>Инвестиционная программа отсутствует</w:t>
            </w:r>
          </w:p>
        </w:tc>
      </w:tr>
      <w:tr>
        <w:trPr/>
        <w:tc>
          <w:tcPr>
            <w:tcW w:w="839" w:type="dxa"/>
            <w:tcBorders>
              <w:left w:val="single" w:sz="6" w:space="0" w:color="E9ECF1"/>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260" w:type="dxa"/>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079" w:type="dxa"/>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14</w:t>
            </w:r>
          </w:p>
        </w:tc>
        <w:tc>
          <w:tcPr>
            <w:tcW w:w="3779" w:type="dxa"/>
            <w:gridSpan w:val="2"/>
            <w:tcBorders/>
            <w:shd w:color="auto" w:fill="FFFFFF" w:val="clear"/>
            <w:tcMar>
              <w:top w:w="57" w:type="dxa"/>
              <w:left w:w="57" w:type="dxa"/>
              <w:bottom w:w="57" w:type="dxa"/>
              <w:right w:w="57"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5219" w:type="dxa"/>
            <w:gridSpan w:val="3"/>
            <w:tcBorders/>
            <w:shd w:color="auto" w:fill="FFFFFF" w:val="clear"/>
            <w:tcMar>
              <w:left w:w="0" w:type="dxa"/>
              <w:right w:w="22"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программу по энергосбережению и повышению энергетической эффективности (для организаций, которые в соответствии с законодательством об энергосбережении и о повышении энергетической эффективности утверждают и реализовывают программы в области энергосбережения и повышения энергетической эффективности);  </w:t>
            </w:r>
          </w:p>
        </w:tc>
        <w:tc>
          <w:tcPr>
            <w:tcW w:w="2523" w:type="dxa"/>
            <w:gridSpan w:val="2"/>
            <w:tcBorders>
              <w:right w:val="single" w:sz="6" w:space="0" w:color="E9ECF1"/>
            </w:tcBorders>
            <w:shd w:color="auto" w:fill="FFFFFF" w:val="clear"/>
            <w:vAlign w:val="center"/>
          </w:tcPr>
          <w:p>
            <w:pPr>
              <w:pStyle w:val="Normal"/>
              <w:spacing w:lineRule="auto" w:line="240" w:before="0" w:after="0"/>
              <w:rPr>
                <w:b/>
                <w:b/>
              </w:rPr>
            </w:pPr>
            <w:r>
              <w:rPr>
                <w:b/>
              </w:rPr>
              <w:t>Программа будет размещена после</w:t>
            </w:r>
            <w:r>
              <w:rPr>
                <w:b/>
                <w:color w:val="0000FF"/>
              </w:rPr>
              <w:t xml:space="preserve"> </w:t>
            </w:r>
            <w:r>
              <w:rPr>
                <w:b/>
              </w:rPr>
              <w:t>утверждения</w:t>
            </w:r>
          </w:p>
          <w:p>
            <w:pPr>
              <w:pStyle w:val="Normal"/>
              <w:spacing w:lineRule="auto" w:line="240" w:before="0" w:after="0"/>
              <w:rPr/>
            </w:pPr>
            <w:r>
              <w:rPr/>
              <w:t xml:space="preserve"> </w:t>
            </w:r>
            <w:r>
              <w:rPr>
                <w:b/>
              </w:rPr>
              <w:t>Файл 19 М14</w:t>
            </w:r>
          </w:p>
          <w:p>
            <w:pPr>
              <w:pStyle w:val="Normal"/>
              <w:spacing w:lineRule="auto" w:line="240" w:before="0" w:after="0"/>
              <w:rPr>
                <w:rFonts w:ascii="Times New Roman" w:hAnsi="Times New Roman"/>
                <w:b/>
                <w:b/>
                <w:color w:val="FF0000"/>
                <w:sz w:val="20"/>
                <w:szCs w:val="20"/>
                <w:lang w:eastAsia="ru-RU"/>
              </w:rPr>
            </w:pPr>
            <w:r>
              <w:rPr>
                <w:rFonts w:ascii="Times New Roman" w:hAnsi="Times New Roman"/>
                <w:b/>
                <w:color w:val="FF0000"/>
                <w:sz w:val="20"/>
                <w:szCs w:val="20"/>
                <w:lang w:eastAsia="ru-RU"/>
              </w:rPr>
            </w:r>
          </w:p>
        </w:tc>
      </w:tr>
      <w:tr>
        <w:trPr/>
        <w:tc>
          <w:tcPr>
            <w:tcW w:w="839" w:type="dxa"/>
            <w:tcBorders>
              <w:left w:val="single" w:sz="6" w:space="0" w:color="E9ECF1"/>
            </w:tcBorders>
            <w:shd w:color="auto" w:fill="E9ECF1"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260" w:type="dxa"/>
            <w:tcBorders/>
            <w:shd w:color="auto" w:fill="E9ECF1"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079" w:type="dxa"/>
            <w:tcBorders/>
            <w:shd w:color="auto" w:fill="E9ECF1"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15</w:t>
            </w:r>
          </w:p>
        </w:tc>
        <w:tc>
          <w:tcPr>
            <w:tcW w:w="3779" w:type="dxa"/>
            <w:gridSpan w:val="2"/>
            <w:tcBorders/>
            <w:shd w:color="auto" w:fill="E9ECF1" w:val="clear"/>
            <w:tcMar>
              <w:top w:w="57" w:type="dxa"/>
              <w:left w:w="57" w:type="dxa"/>
              <w:bottom w:w="57" w:type="dxa"/>
              <w:right w:w="57"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5219" w:type="dxa"/>
            <w:gridSpan w:val="3"/>
            <w:tcBorders/>
            <w:shd w:color="auto" w:fill="E9ECF1" w:val="clear"/>
            <w:tcMar>
              <w:left w:w="0" w:type="dxa"/>
              <w:right w:w="22"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заключения (отчеты) по результатам проведения технологического и ценового аудита инвестиционных проектов строительства объектов электроэнергетики в случаях, если получение таких заключений (отчетов) является обязательным;</w:t>
            </w:r>
          </w:p>
        </w:tc>
        <w:tc>
          <w:tcPr>
            <w:tcW w:w="2523" w:type="dxa"/>
            <w:gridSpan w:val="2"/>
            <w:tcBorders>
              <w:right w:val="single" w:sz="6" w:space="0" w:color="E9ECF1"/>
            </w:tcBorders>
            <w:shd w:color="auto" w:fill="E9ECF1" w:val="clear"/>
            <w:vAlign w:val="center"/>
          </w:tcPr>
          <w:p>
            <w:pPr>
              <w:pStyle w:val="Normal"/>
              <w:spacing w:lineRule="auto" w:line="240" w:before="0" w:after="0"/>
              <w:rPr>
                <w:rFonts w:ascii="Times New Roman" w:hAnsi="Times New Roman"/>
                <w:b/>
                <w:b/>
                <w:sz w:val="20"/>
                <w:szCs w:val="20"/>
                <w:lang w:eastAsia="ru-RU"/>
              </w:rPr>
            </w:pPr>
            <w:r>
              <w:rPr>
                <w:rFonts w:ascii="Times New Roman" w:hAnsi="Times New Roman"/>
                <w:b/>
                <w:sz w:val="20"/>
                <w:szCs w:val="20"/>
                <w:lang w:eastAsia="ru-RU"/>
              </w:rPr>
              <w:t>Инвестиционная программа отсутствует</w:t>
            </w:r>
          </w:p>
        </w:tc>
      </w:tr>
      <w:tr>
        <w:trPr/>
        <w:tc>
          <w:tcPr>
            <w:tcW w:w="839" w:type="dxa"/>
            <w:tcBorders>
              <w:left w:val="single" w:sz="6" w:space="0" w:color="E9ECF1"/>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260" w:type="dxa"/>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079" w:type="dxa"/>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16</w:t>
            </w:r>
          </w:p>
        </w:tc>
        <w:tc>
          <w:tcPr>
            <w:tcW w:w="3779" w:type="dxa"/>
            <w:gridSpan w:val="2"/>
            <w:tcBorders/>
            <w:shd w:color="auto" w:fill="FFFFFF" w:val="clear"/>
            <w:tcMar>
              <w:top w:w="57" w:type="dxa"/>
              <w:left w:w="57" w:type="dxa"/>
              <w:bottom w:w="57" w:type="dxa"/>
              <w:right w:w="57"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5219" w:type="dxa"/>
            <w:gridSpan w:val="3"/>
            <w:tcBorders/>
            <w:shd w:color="auto" w:fill="FFFFFF" w:val="clear"/>
            <w:tcMar>
              <w:left w:w="0" w:type="dxa"/>
              <w:right w:w="22"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заключение по результатам проведения технологического и ценового аудита инвестиционной программы (проекта инвестиционной программы) (при наличии такового), выполненное в соответствии с методическими рекомендациями по проведению технологического и ценового аудита инвестиционных программ (проектов инвестиционных программ) сетевых организаций, отнесенных к числу субъектов электроэнергетики, инвестиционные программы которых утверждаются Министерством энергетики Российской Федерации и (или) органами исполнительной власти субъектов Российской Федерации, уполномоченными на утверждение инвестиционных программ субъектов электроэнергетики, и отчетов об их реализации, утвержденными распоряжением Правительства Российской Федерации от 23 сентября 2016 г. N 2002-р; заключение по результатам проведения технологического и ценового аудита инвестиционной программы (проекта инвестиционной программы) (при наличии такового), выполненное в соответствии с методическими рекомендациями, предусмотренными пунктом 5 постановления Правительства Российской Федерации от 16 февраля 2015 г. N 132 "О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 и контроля за их реализацией"; информацию о наличии у сетевой организации предусмотренных законодательством Российской Федерации о приватизации инвестиционных обязательств в отношении объектов электросетевого хозяйства, а также об условиях таких обязательств;</w:t>
            </w:r>
          </w:p>
        </w:tc>
        <w:tc>
          <w:tcPr>
            <w:tcW w:w="2523" w:type="dxa"/>
            <w:gridSpan w:val="2"/>
            <w:tcBorders>
              <w:right w:val="single" w:sz="6" w:space="0" w:color="E9ECF1"/>
            </w:tcBorders>
            <w:shd w:color="auto" w:fill="FFFFFF" w:val="clear"/>
            <w:vAlign w:val="center"/>
          </w:tcPr>
          <w:p>
            <w:pPr>
              <w:pStyle w:val="Normal"/>
              <w:spacing w:lineRule="auto" w:line="240" w:before="0" w:after="0"/>
              <w:rPr>
                <w:rFonts w:ascii="Times New Roman" w:hAnsi="Times New Roman"/>
                <w:b/>
                <w:b/>
                <w:sz w:val="20"/>
                <w:szCs w:val="20"/>
                <w:lang w:eastAsia="ru-RU"/>
              </w:rPr>
            </w:pPr>
            <w:r>
              <w:rPr>
                <w:rFonts w:ascii="Times New Roman" w:hAnsi="Times New Roman"/>
                <w:b/>
                <w:sz w:val="20"/>
                <w:szCs w:val="20"/>
                <w:lang w:eastAsia="ru-RU"/>
              </w:rPr>
              <w:t>Инвестиционная программа отсутствует</w:t>
            </w:r>
          </w:p>
        </w:tc>
      </w:tr>
      <w:tr>
        <w:trPr/>
        <w:tc>
          <w:tcPr>
            <w:tcW w:w="839" w:type="dxa"/>
            <w:tcBorders>
              <w:left w:val="single" w:sz="6" w:space="0" w:color="E9ECF1"/>
            </w:tcBorders>
            <w:shd w:color="auto" w:fill="E9ECF1"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260" w:type="dxa"/>
            <w:tcBorders/>
            <w:shd w:color="auto" w:fill="E9ECF1"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079" w:type="dxa"/>
            <w:tcBorders/>
            <w:shd w:color="auto" w:fill="E9ECF1"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17</w:t>
            </w:r>
          </w:p>
        </w:tc>
        <w:tc>
          <w:tcPr>
            <w:tcW w:w="3779" w:type="dxa"/>
            <w:gridSpan w:val="2"/>
            <w:tcBorders/>
            <w:shd w:color="auto" w:fill="E9ECF1" w:val="clear"/>
            <w:tcMar>
              <w:top w:w="57" w:type="dxa"/>
              <w:left w:w="57" w:type="dxa"/>
              <w:bottom w:w="57" w:type="dxa"/>
              <w:right w:w="57"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5219" w:type="dxa"/>
            <w:gridSpan w:val="3"/>
            <w:tcBorders/>
            <w:shd w:color="auto" w:fill="E9ECF1" w:val="clear"/>
            <w:tcMar>
              <w:left w:w="0" w:type="dxa"/>
              <w:right w:w="22"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информацию о наличии у сетевой организации предусмотренных законодательством Российской Федерации о приватизации инвестиционных обязательств в отношении объектов электросетевого хозяйства, а также об условиях таких обязательств.</w:t>
            </w:r>
          </w:p>
        </w:tc>
        <w:tc>
          <w:tcPr>
            <w:tcW w:w="2523" w:type="dxa"/>
            <w:gridSpan w:val="2"/>
            <w:tcBorders>
              <w:right w:val="single" w:sz="6" w:space="0" w:color="E9ECF1"/>
            </w:tcBorders>
            <w:shd w:color="auto" w:fill="E9ECF1" w:val="clear"/>
            <w:vAlign w:val="center"/>
          </w:tcPr>
          <w:p>
            <w:pPr>
              <w:pStyle w:val="Normal"/>
              <w:spacing w:lineRule="auto" w:line="240" w:before="0" w:after="0"/>
              <w:rPr>
                <w:rFonts w:ascii="Times New Roman" w:hAnsi="Times New Roman"/>
                <w:b/>
                <w:b/>
                <w:sz w:val="20"/>
                <w:szCs w:val="20"/>
                <w:lang w:eastAsia="ru-RU"/>
              </w:rPr>
            </w:pPr>
            <w:r>
              <w:rPr>
                <w:rFonts w:ascii="Times New Roman" w:hAnsi="Times New Roman"/>
                <w:b/>
                <w:sz w:val="20"/>
                <w:szCs w:val="20"/>
                <w:lang w:eastAsia="ru-RU"/>
              </w:rPr>
              <w:t>Инвестиционная программа отсутствует</w:t>
            </w:r>
          </w:p>
        </w:tc>
      </w:tr>
      <w:tr>
        <w:trPr/>
        <w:tc>
          <w:tcPr>
            <w:tcW w:w="839" w:type="dxa"/>
            <w:tcBorders>
              <w:left w:val="single" w:sz="6" w:space="0" w:color="E9ECF1"/>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260" w:type="dxa"/>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079" w:type="dxa"/>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3779" w:type="dxa"/>
            <w:gridSpan w:val="2"/>
            <w:tcBorders/>
            <w:shd w:color="auto" w:fill="FFFFFF" w:val="clear"/>
            <w:tcMar>
              <w:top w:w="57" w:type="dxa"/>
              <w:left w:w="57" w:type="dxa"/>
              <w:bottom w:w="57" w:type="dxa"/>
              <w:right w:w="57"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7742" w:type="dxa"/>
            <w:gridSpan w:val="5"/>
            <w:tcBorders>
              <w:right w:val="single" w:sz="6" w:space="0" w:color="E9ECF1"/>
            </w:tcBorders>
            <w:shd w:color="auto" w:fill="FFFFFF" w:val="clear"/>
            <w:tcMar>
              <w:left w:w="0" w:type="dxa"/>
              <w:right w:w="22"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r>
              <w:rPr>
                <w:rFonts w:ascii="Times New Roman" w:hAnsi="Times New Roman"/>
                <w:sz w:val="20"/>
                <w:szCs w:val="20"/>
                <w:lang w:eastAsia="ru-RU"/>
              </w:rPr>
              <w:t>Информация, указанная в абзацах втором - десятом подпункта "м" пункта 19 настоящего документа, раскрывается в форме электронных документов в соответствии с формами, правилами заполнения указанных форм и требованиями к их форматам раскрытия, утвержденными Министерством энергетики Российской Федерации по согласованию с Министерством цифрового развития, связи и массовых коммуникаций Российской Федерации (указанные электронные документы формируются сетевой организацией на основе их шаблонов и (или) описаний схем, используемых для формирования электронных документов в формате XML и обеспечивающих считывание и контроль содержащихся в них данных (далее - схемы XML-документов), опубликованных на официальном сайте Министерства энергетики Российской Федерации в сети "Интернет"). Информация, указанная в абзацах одиннадцатом - семнадцатом подпункта "м" пункта 19 настоящего документа, раскрывается в форме электронных документов в соответствии с требованиями к их форматам раскрытия, утвержденными Министерством энергетики Российской Федерации.</w:t>
            </w:r>
          </w:p>
        </w:tc>
      </w:tr>
      <w:tr>
        <w:trPr/>
        <w:tc>
          <w:tcPr>
            <w:tcW w:w="839" w:type="dxa"/>
            <w:tcBorders>
              <w:left w:val="single" w:sz="6" w:space="0" w:color="E9ECF1"/>
            </w:tcBorders>
            <w:shd w:color="auto" w:fill="E9ECF1" w:val="clear"/>
            <w:tcMar>
              <w:top w:w="0" w:type="dxa"/>
              <w:left w:w="0" w:type="dxa"/>
              <w:bottom w:w="0" w:type="dxa"/>
              <w:right w:w="22" w:type="dxa"/>
            </w:tcMar>
            <w:vAlign w:val="cente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t>19</w:t>
            </w:r>
          </w:p>
        </w:tc>
        <w:tc>
          <w:tcPr>
            <w:tcW w:w="1260" w:type="dxa"/>
            <w:tcBorders/>
            <w:shd w:color="auto" w:fill="E9ECF1" w:val="clear"/>
            <w:tcMar>
              <w:top w:w="0" w:type="dxa"/>
              <w:bottom w:w="0" w:type="dxa"/>
            </w:tcMar>
            <w:vAlign w:val="cente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t>н</w:t>
            </w:r>
          </w:p>
        </w:tc>
        <w:tc>
          <w:tcPr>
            <w:tcW w:w="1079" w:type="dxa"/>
            <w:tcBorders/>
            <w:shd w:color="auto" w:fill="E9ECF1"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1</w:t>
            </w:r>
          </w:p>
        </w:tc>
        <w:tc>
          <w:tcPr>
            <w:tcW w:w="3779" w:type="dxa"/>
            <w:gridSpan w:val="2"/>
            <w:tcBorders/>
            <w:shd w:color="auto" w:fill="E9ECF1" w:val="clear"/>
            <w:tcMar>
              <w:top w:w="57" w:type="dxa"/>
              <w:left w:w="57" w:type="dxa"/>
              <w:bottom w:w="57" w:type="dxa"/>
              <w:right w:w="57"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ежеквартально, ежегодно, до 1 апреля, по результатам исполнения инвестиционной программы за предыдущий календарный год, а также  не позднее 45 дней после окончания отчетного квартала</w:t>
            </w:r>
          </w:p>
        </w:tc>
        <w:tc>
          <w:tcPr>
            <w:tcW w:w="5141" w:type="dxa"/>
            <w:gridSpan w:val="2"/>
            <w:tcBorders/>
            <w:shd w:color="auto" w:fill="E9ECF1" w:val="cle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r>
              <w:rPr>
                <w:rFonts w:ascii="Times New Roman" w:hAnsi="Times New Roman"/>
                <w:sz w:val="20"/>
                <w:szCs w:val="20"/>
                <w:lang w:eastAsia="ru-RU"/>
              </w:rPr>
              <w:t>19 н (1) об отчетах о реализации инвестиционной программы и об обосновывающих их материалах, включая:</w:t>
            </w:r>
          </w:p>
        </w:tc>
        <w:tc>
          <w:tcPr>
            <w:tcW w:w="2601" w:type="dxa"/>
            <w:gridSpan w:val="3"/>
            <w:tcBorders>
              <w:right w:val="single" w:sz="6" w:space="0" w:color="E9ECF1"/>
            </w:tcBorders>
            <w:shd w:color="auto" w:fill="E9ECF1" w:val="clear"/>
            <w:tcMar>
              <w:top w:w="0" w:type="dxa"/>
              <w:bottom w:w="0" w:type="dxa"/>
            </w:tcMar>
            <w:vAlign w:val="center"/>
          </w:tcPr>
          <w:p>
            <w:pPr>
              <w:pStyle w:val="Normal"/>
              <w:spacing w:lineRule="auto" w:line="240" w:before="0" w:after="0"/>
              <w:rPr>
                <w:rFonts w:ascii="Times New Roman" w:hAnsi="Times New Roman"/>
                <w:b/>
                <w:b/>
                <w:sz w:val="20"/>
                <w:szCs w:val="20"/>
                <w:lang w:eastAsia="ru-RU"/>
              </w:rPr>
            </w:pPr>
            <w:r>
              <w:rPr>
                <w:rFonts w:ascii="Times New Roman" w:hAnsi="Times New Roman"/>
                <w:b/>
                <w:sz w:val="20"/>
                <w:szCs w:val="20"/>
                <w:lang w:eastAsia="ru-RU"/>
              </w:rPr>
              <w:t>Инвестиционная программа отсутствует</w:t>
            </w:r>
          </w:p>
        </w:tc>
      </w:tr>
      <w:tr>
        <w:trPr/>
        <w:tc>
          <w:tcPr>
            <w:tcW w:w="839" w:type="dxa"/>
            <w:tcBorders>
              <w:left w:val="single" w:sz="6" w:space="0" w:color="E9ECF1"/>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260" w:type="dxa"/>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079" w:type="dxa"/>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3779" w:type="dxa"/>
            <w:gridSpan w:val="2"/>
            <w:tcBorders/>
            <w:shd w:color="auto" w:fill="FFFFFF" w:val="clear"/>
            <w:tcMar>
              <w:top w:w="57" w:type="dxa"/>
              <w:left w:w="57" w:type="dxa"/>
              <w:bottom w:w="57" w:type="dxa"/>
              <w:right w:w="57"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7742" w:type="dxa"/>
            <w:gridSpan w:val="5"/>
            <w:tcBorders>
              <w:right w:val="single" w:sz="6" w:space="0" w:color="E9ECF1"/>
            </w:tcBorders>
            <w:shd w:color="auto" w:fill="FFFFFF" w:val="clear"/>
            <w:tcMar>
              <w:left w:w="0" w:type="dxa"/>
              <w:right w:w="22" w:type="dxa"/>
            </w:tcMar>
            <w:vAlign w:val="center"/>
          </w:tcPr>
          <w:p>
            <w:pPr>
              <w:pStyle w:val="Normal"/>
              <w:spacing w:lineRule="auto" w:line="240" w:before="225" w:after="225"/>
              <w:rPr>
                <w:rFonts w:ascii="Times New Roman" w:hAnsi="Times New Roman"/>
                <w:sz w:val="20"/>
                <w:szCs w:val="20"/>
                <w:lang w:eastAsia="ru-RU"/>
              </w:rPr>
            </w:pPr>
            <w:r>
              <w:rPr>
                <w:rFonts w:ascii="Times New Roman" w:hAnsi="Times New Roman"/>
                <w:sz w:val="20"/>
                <w:szCs w:val="20"/>
                <w:lang w:eastAsia="ru-RU"/>
              </w:rPr>
              <w:t>отчет о реализации инвестиционной программы, сформированный с распределением по перечням инвестиционных проектов, с указанием фактических:</w:t>
            </w:r>
          </w:p>
          <w:p>
            <w:pPr>
              <w:pStyle w:val="Normal"/>
              <w:spacing w:lineRule="auto" w:line="240" w:before="225" w:after="225"/>
              <w:rPr>
                <w:rFonts w:ascii="Times New Roman" w:hAnsi="Times New Roman"/>
                <w:sz w:val="20"/>
                <w:szCs w:val="20"/>
                <w:lang w:eastAsia="ru-RU"/>
              </w:rPr>
            </w:pPr>
            <w:r>
              <w:rPr>
                <w:rFonts w:ascii="Times New Roman" w:hAnsi="Times New Roman"/>
                <w:sz w:val="20"/>
                <w:szCs w:val="20"/>
                <w:lang w:eastAsia="ru-RU"/>
              </w:rPr>
              <w:t>- введенной (выведенной) мощности и (или) других характеристик объектов инвестиционной деятельности, предусмотренных соответствующими инвестиционными проектами, а также дат ввода (вывода) указанных объектов;</w:t>
            </w:r>
          </w:p>
          <w:p>
            <w:pPr>
              <w:pStyle w:val="Normal"/>
              <w:spacing w:lineRule="auto" w:line="240" w:before="225" w:after="225"/>
              <w:rPr>
                <w:rFonts w:ascii="Times New Roman" w:hAnsi="Times New Roman"/>
                <w:sz w:val="20"/>
                <w:szCs w:val="20"/>
                <w:lang w:eastAsia="ru-RU"/>
              </w:rPr>
            </w:pPr>
            <w:r>
              <w:rPr>
                <w:rFonts w:ascii="Times New Roman" w:hAnsi="Times New Roman"/>
                <w:sz w:val="20"/>
                <w:szCs w:val="20"/>
                <w:lang w:eastAsia="ru-RU"/>
              </w:rPr>
              <w:t>- объемов финансирования и освоения капитальных вложений, а также источников финансирования инвестиционных проектов инвестиционной программы;</w:t>
            </w:r>
          </w:p>
          <w:p>
            <w:pPr>
              <w:pStyle w:val="Normal"/>
              <w:spacing w:lineRule="auto" w:line="240" w:before="225" w:after="225"/>
              <w:rPr>
                <w:rFonts w:ascii="Times New Roman" w:hAnsi="Times New Roman"/>
                <w:sz w:val="20"/>
                <w:szCs w:val="20"/>
                <w:lang w:eastAsia="ru-RU"/>
              </w:rPr>
            </w:pPr>
            <w:r>
              <w:rPr>
                <w:rFonts w:ascii="Times New Roman" w:hAnsi="Times New Roman"/>
                <w:sz w:val="20"/>
                <w:szCs w:val="20"/>
                <w:lang w:eastAsia="ru-RU"/>
              </w:rPr>
              <w:t>- объемов ввода объектов основных средств в натуральном и стоимостном выражении по инвестиционным проектам инвестиционной программы;</w:t>
            </w:r>
          </w:p>
          <w:p>
            <w:pPr>
              <w:pStyle w:val="Normal"/>
              <w:spacing w:lineRule="auto" w:line="240" w:before="225" w:after="225"/>
              <w:rPr>
                <w:rFonts w:ascii="Times New Roman" w:hAnsi="Times New Roman"/>
                <w:sz w:val="20"/>
                <w:szCs w:val="20"/>
                <w:lang w:eastAsia="ru-RU"/>
              </w:rPr>
            </w:pPr>
            <w:r>
              <w:rPr>
                <w:rFonts w:ascii="Times New Roman" w:hAnsi="Times New Roman"/>
                <w:sz w:val="20"/>
                <w:szCs w:val="20"/>
                <w:lang w:eastAsia="ru-RU"/>
              </w:rPr>
              <w:t>- стоимостных, технических, количественных и иных показателей технологических решений капитального строительства введенных в эксплуатацию объектов электроэнергетики, соответствующих типовым технологическим решениям капитального строительства объектов электроэнергетики, в отношении которых Министерством энергетики Российской Федерации установлены укрупненные нормативы цены;</w:t>
            </w:r>
          </w:p>
          <w:p>
            <w:pPr>
              <w:pStyle w:val="Normal"/>
              <w:spacing w:lineRule="auto" w:line="240" w:before="225" w:after="225"/>
              <w:rPr>
                <w:rFonts w:ascii="Times New Roman" w:hAnsi="Times New Roman"/>
                <w:sz w:val="20"/>
                <w:szCs w:val="20"/>
                <w:lang w:eastAsia="ru-RU"/>
              </w:rPr>
            </w:pPr>
            <w:r>
              <w:rPr>
                <w:rFonts w:ascii="Times New Roman" w:hAnsi="Times New Roman"/>
                <w:sz w:val="20"/>
                <w:szCs w:val="20"/>
                <w:lang w:eastAsia="ru-RU"/>
              </w:rPr>
              <w:t>- значений количественных показателей инвестиционной программы и достигнутых результатов в части, касающейся расширения пропускной способности, снижения потерь в сетях и увеличения резерва для присоединения потребителей отдельно по каждому центру питания напряжением 35 кВ и выше; отчет о выполненных закупках товаров, работ и услуг для реализации утвержденной инвестиционной программы с распределением по каждому инвестиционному проекту;</w:t>
            </w:r>
          </w:p>
          <w:p>
            <w:pPr>
              <w:pStyle w:val="Normal"/>
              <w:spacing w:lineRule="auto" w:line="240" w:before="225" w:after="225"/>
              <w:rPr>
                <w:rFonts w:ascii="Times New Roman" w:hAnsi="Times New Roman"/>
                <w:sz w:val="20"/>
                <w:szCs w:val="20"/>
                <w:lang w:eastAsia="ru-RU"/>
              </w:rPr>
            </w:pPr>
            <w:r>
              <w:rPr>
                <w:rFonts w:ascii="Times New Roman" w:hAnsi="Times New Roman"/>
                <w:sz w:val="20"/>
                <w:szCs w:val="20"/>
                <w:lang w:eastAsia="ru-RU"/>
              </w:rPr>
              <w:t>- отчет об исполнении финансового плана субъекта рынков электрической энергии;</w:t>
            </w:r>
          </w:p>
          <w:p>
            <w:pPr>
              <w:pStyle w:val="Normal"/>
              <w:spacing w:lineRule="auto" w:line="240" w:before="225" w:after="225"/>
              <w:rPr>
                <w:rFonts w:ascii="Times New Roman" w:hAnsi="Times New Roman"/>
                <w:sz w:val="20"/>
                <w:szCs w:val="20"/>
                <w:lang w:eastAsia="ru-RU"/>
              </w:rPr>
            </w:pPr>
            <w:r>
              <w:rPr>
                <w:rFonts w:ascii="Times New Roman" w:hAnsi="Times New Roman"/>
                <w:sz w:val="20"/>
                <w:szCs w:val="20"/>
                <w:lang w:eastAsia="ru-RU"/>
              </w:rPr>
              <w:t>- паспорта инвестиционных проектов, содержащие информацию, предусмотренную пунктом 27 настоящего документа, по состоянию на отчетную дату;</w:t>
            </w:r>
          </w:p>
          <w:p>
            <w:pPr>
              <w:pStyle w:val="Normal"/>
              <w:spacing w:lineRule="auto" w:line="240" w:before="225" w:after="225"/>
              <w:rPr>
                <w:rFonts w:ascii="Times New Roman" w:hAnsi="Times New Roman"/>
                <w:sz w:val="20"/>
                <w:szCs w:val="20"/>
                <w:lang w:eastAsia="ru-RU"/>
              </w:rPr>
            </w:pPr>
            <w:r>
              <w:rPr>
                <w:rFonts w:ascii="Times New Roman" w:hAnsi="Times New Roman"/>
                <w:sz w:val="20"/>
                <w:szCs w:val="20"/>
                <w:lang w:eastAsia="ru-RU"/>
              </w:rPr>
              <w:t>-  заключение по результатам проведения технологического и ценового аудита отчета о реализации инвестиционной программы (при наличии такового), выполненное в соответствии с методическими рекомендациями по проведению технологического и ценового аудита инвестиционных программ (проектов инвестиционных программ) сетевых организаций, отнесенных к числу субъектов электроэнергетики, инвестиционные программы которых утверждаются Министерством энергетики Российской Федерации и (или) органами исполнительной власти субъектов Российской Федерации, уполномоченными на утверждение инвестиционных программ субъектов электроэнергетики, и отчетов об их реализации, утвержденными распоряжением Правительства Российской Федерации от 23.09.2016г. N2002-р;</w:t>
            </w:r>
          </w:p>
        </w:tc>
      </w:tr>
      <w:tr>
        <w:trPr/>
        <w:tc>
          <w:tcPr>
            <w:tcW w:w="839" w:type="dxa"/>
            <w:tcBorders>
              <w:left w:val="single" w:sz="6" w:space="0" w:color="E9ECF1"/>
            </w:tcBorders>
            <w:shd w:color="auto" w:fill="E9ECF1"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260" w:type="dxa"/>
            <w:tcBorders/>
            <w:shd w:color="auto" w:fill="E9ECF1"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079" w:type="dxa"/>
            <w:tcBorders/>
            <w:shd w:color="auto" w:fill="E9ECF1"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3779" w:type="dxa"/>
            <w:gridSpan w:val="2"/>
            <w:tcBorders/>
            <w:shd w:color="auto" w:fill="E9ECF1" w:val="clear"/>
            <w:tcMar>
              <w:top w:w="57" w:type="dxa"/>
              <w:left w:w="57" w:type="dxa"/>
              <w:bottom w:w="57" w:type="dxa"/>
              <w:right w:w="57"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7742" w:type="dxa"/>
            <w:gridSpan w:val="5"/>
            <w:tcBorders>
              <w:right w:val="single" w:sz="6" w:space="0" w:color="E9ECF1"/>
            </w:tcBorders>
            <w:shd w:color="auto" w:fill="E9ECF1" w:val="clear"/>
            <w:tcMar>
              <w:left w:w="0" w:type="dxa"/>
              <w:right w:w="22"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Информация, указанная в абзацах втором - десятом подпункта "н" пункта 19 настоящего документа, раскрывается в форме электронных документов в соответствии с формами, правилами заполнения указанных форм и требованиями к их форматам раскрытия, утверждаенными Министерством энергетики Российской Федерации по согласованию с Министерством связи и массовых коммуникаций Российской  Федерации. Информация, указанная в абзаце одиннадцатом подпункта "н" пункта 19 настоящего документа, раскрывается в форме электронных документов в соответствии с требованиями к их форматам раскрытия, утвержденными Министерством энергетики Российской Федерации.</w:t>
            </w:r>
          </w:p>
        </w:tc>
      </w:tr>
      <w:tr>
        <w:trPr>
          <w:trHeight w:val="4826" w:hRule="atLeast"/>
        </w:trPr>
        <w:tc>
          <w:tcPr>
            <w:tcW w:w="839" w:type="dxa"/>
            <w:tcBorders>
              <w:left w:val="single" w:sz="6" w:space="0" w:color="E9ECF1"/>
            </w:tcBorders>
            <w:shd w:color="auto" w:fill="FFFFFF" w:val="clear"/>
            <w:tcMar>
              <w:top w:w="0" w:type="dxa"/>
              <w:left w:w="0" w:type="dxa"/>
              <w:bottom w:w="0" w:type="dxa"/>
              <w:right w:w="22" w:type="dxa"/>
            </w:tcMar>
            <w:vAlign w:val="cente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t>19</w:t>
            </w:r>
          </w:p>
        </w:tc>
        <w:tc>
          <w:tcPr>
            <w:tcW w:w="1260" w:type="dxa"/>
            <w:tcBorders/>
            <w:shd w:color="auto" w:fill="FFFFFF" w:val="clear"/>
            <w:tcMar>
              <w:top w:w="0" w:type="dxa"/>
              <w:bottom w:w="0" w:type="dxa"/>
            </w:tcMar>
            <w:vAlign w:val="cente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t>о</w:t>
            </w:r>
          </w:p>
        </w:tc>
        <w:tc>
          <w:tcPr>
            <w:tcW w:w="1079" w:type="dxa"/>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3779" w:type="dxa"/>
            <w:gridSpan w:val="2"/>
            <w:tcBorders/>
            <w:shd w:color="auto" w:fill="FFFFFF" w:val="clear"/>
            <w:tcMar>
              <w:top w:w="57" w:type="dxa"/>
              <w:left w:w="57" w:type="dxa"/>
              <w:bottom w:w="57" w:type="dxa"/>
              <w:right w:w="57"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r>
              <w:rPr>
                <w:rFonts w:ascii="Times New Roman" w:hAnsi="Times New Roman"/>
                <w:sz w:val="20"/>
                <w:szCs w:val="20"/>
                <w:lang w:eastAsia="ru-RU"/>
              </w:rPr>
              <w:t>ежегодно, до 1 марта</w:t>
            </w:r>
          </w:p>
        </w:tc>
        <w:tc>
          <w:tcPr>
            <w:tcW w:w="5141" w:type="dxa"/>
            <w:gridSpan w:val="2"/>
            <w:tcBorders/>
            <w:shd w:color="auto" w:fill="FFFFFF" w:val="clear"/>
            <w:vAlign w:val="center"/>
          </w:tcPr>
          <w:p>
            <w:pPr>
              <w:pStyle w:val="Normal"/>
              <w:spacing w:lineRule="auto" w:line="240" w:before="225" w:after="225"/>
              <w:rPr>
                <w:rFonts w:ascii="Times New Roman" w:hAnsi="Times New Roman"/>
                <w:sz w:val="20"/>
                <w:szCs w:val="20"/>
                <w:lang w:eastAsia="ru-RU"/>
              </w:rPr>
            </w:pPr>
            <w:r>
              <w:rPr>
                <w:rFonts w:ascii="Times New Roman" w:hAnsi="Times New Roman"/>
                <w:sz w:val="20"/>
                <w:szCs w:val="20"/>
                <w:lang w:eastAsia="ru-RU"/>
              </w:rPr>
              <w:t>19 о) о способах приобретения, стоимости и  об объемах товаров , необходимых для оказания услуг по передаче   электроэнергии, включая информацию:</w:t>
            </w:r>
          </w:p>
          <w:p>
            <w:pPr>
              <w:pStyle w:val="Normal"/>
              <w:spacing w:lineRule="auto" w:line="240" w:before="225" w:after="225"/>
              <w:rPr>
                <w:rFonts w:ascii="Times New Roman" w:hAnsi="Times New Roman"/>
                <w:sz w:val="20"/>
                <w:szCs w:val="20"/>
                <w:lang w:eastAsia="ru-RU"/>
              </w:rPr>
            </w:pPr>
            <w:r>
              <w:rPr>
                <w:rFonts w:ascii="Times New Roman" w:hAnsi="Times New Roman"/>
                <w:sz w:val="20"/>
                <w:szCs w:val="20"/>
                <w:lang w:eastAsia="ru-RU"/>
              </w:rPr>
              <w:t>- о корпоративных правилах осуществления закупок (включая использование конкурсов и аукционов);</w:t>
            </w:r>
          </w:p>
          <w:p>
            <w:pPr>
              <w:pStyle w:val="Normal"/>
              <w:spacing w:lineRule="auto" w:line="240" w:before="225" w:after="225"/>
              <w:rPr>
                <w:rFonts w:ascii="Times New Roman" w:hAnsi="Times New Roman"/>
                <w:sz w:val="20"/>
                <w:szCs w:val="20"/>
                <w:lang w:eastAsia="ru-RU"/>
              </w:rPr>
            </w:pPr>
            <w:r>
              <w:rPr>
                <w:rFonts w:ascii="Times New Roman" w:hAnsi="Times New Roman"/>
                <w:sz w:val="20"/>
                <w:szCs w:val="20"/>
                <w:lang w:eastAsia="ru-RU"/>
              </w:rPr>
              <w:t>- о проведении закупок товаров, необходимых для производства регулируемых услуг ( включая использование конкурсов и аукционов ), с указанием наименований товаров и предполагаемых объемов закупок; Подлежит опубликованию в соответствии с законодательством Российской Федерации и локальными документами, определяющими порядок проведения открытых закупочных процедур.</w:t>
            </w:r>
          </w:p>
        </w:tc>
        <w:tc>
          <w:tcPr>
            <w:tcW w:w="2601" w:type="dxa"/>
            <w:gridSpan w:val="3"/>
            <w:tcBorders>
              <w:right w:val="single" w:sz="6" w:space="0" w:color="E9ECF1"/>
            </w:tcBorders>
            <w:shd w:color="auto" w:fill="FFFFFF" w:val="clear"/>
            <w:tcMar>
              <w:top w:w="0" w:type="dxa"/>
              <w:bottom w:w="0" w:type="dxa"/>
            </w:tcMar>
            <w:vAlign w:val="center"/>
          </w:tcPr>
          <w:p>
            <w:pPr>
              <w:pStyle w:val="Normal"/>
              <w:spacing w:lineRule="auto" w:line="240" w:before="0" w:after="0"/>
              <w:rPr/>
            </w:pPr>
            <w:r>
              <w:rPr>
                <w:b/>
              </w:rPr>
              <w:t>Файл 19 О</w:t>
            </w:r>
          </w:p>
          <w:p>
            <w:pPr>
              <w:pStyle w:val="Normal"/>
              <w:spacing w:lineRule="auto" w:line="240" w:before="0" w:after="0"/>
              <w:rPr>
                <w:rFonts w:ascii="Times New Roman" w:hAnsi="Times New Roman"/>
                <w:color w:val="0000FF"/>
                <w:sz w:val="20"/>
                <w:szCs w:val="20"/>
                <w:lang w:eastAsia="ru-RU"/>
              </w:rPr>
            </w:pPr>
            <w:r>
              <w:rPr>
                <w:rFonts w:ascii="Times New Roman" w:hAnsi="Times New Roman"/>
                <w:color w:val="0000FF"/>
                <w:sz w:val="20"/>
                <w:szCs w:val="20"/>
                <w:lang w:eastAsia="ru-RU"/>
              </w:rPr>
            </w:r>
          </w:p>
        </w:tc>
      </w:tr>
      <w:tr>
        <w:trPr/>
        <w:tc>
          <w:tcPr>
            <w:tcW w:w="839" w:type="dxa"/>
            <w:tcBorders>
              <w:left w:val="single" w:sz="6" w:space="0" w:color="E9ECF1"/>
            </w:tcBorders>
            <w:shd w:color="auto" w:fill="FFFFFF" w:val="clear"/>
            <w:tcMar>
              <w:top w:w="0" w:type="dxa"/>
              <w:left w:w="0" w:type="dxa"/>
              <w:bottom w:w="0" w:type="dxa"/>
              <w:right w:w="22" w:type="dxa"/>
            </w:tcMar>
            <w:vAlign w:val="cente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t>19</w:t>
            </w:r>
          </w:p>
        </w:tc>
        <w:tc>
          <w:tcPr>
            <w:tcW w:w="1260" w:type="dxa"/>
            <w:tcBorders/>
            <w:shd w:color="auto" w:fill="FFFFFF" w:val="clear"/>
            <w:tcMar>
              <w:top w:w="0" w:type="dxa"/>
              <w:bottom w:w="0" w:type="dxa"/>
            </w:tcMar>
            <w:vAlign w:val="cente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t>п</w:t>
            </w:r>
          </w:p>
        </w:tc>
        <w:tc>
          <w:tcPr>
            <w:tcW w:w="1079" w:type="dxa"/>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3779" w:type="dxa"/>
            <w:gridSpan w:val="2"/>
            <w:tcBorders/>
            <w:shd w:color="auto" w:fill="FFFFFF" w:val="clear"/>
            <w:tcMar>
              <w:top w:w="57" w:type="dxa"/>
              <w:left w:w="57" w:type="dxa"/>
              <w:bottom w:w="57" w:type="dxa"/>
              <w:right w:w="57"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Обновляется в течении 10 дней со дня вступления в силу изменений, внесенных в инвестиционную программу</w:t>
            </w:r>
          </w:p>
        </w:tc>
        <w:tc>
          <w:tcPr>
            <w:tcW w:w="5141" w:type="dxa"/>
            <w:gridSpan w:val="2"/>
            <w:tcBorders/>
            <w:shd w:color="auto" w:fill="FFFFFF" w:val="clear"/>
            <w:vAlign w:val="center"/>
          </w:tcPr>
          <w:p>
            <w:pPr>
              <w:pStyle w:val="Normal"/>
              <w:spacing w:lineRule="auto" w:line="240" w:before="0" w:after="0"/>
              <w:rPr>
                <w:rFonts w:ascii="Times New Roman" w:hAnsi="Times New Roman"/>
                <w:bCs/>
                <w:color w:val="000000"/>
                <w:sz w:val="20"/>
                <w:szCs w:val="20"/>
                <w:lang w:eastAsia="ru-RU"/>
              </w:rPr>
            </w:pPr>
            <w:r>
              <w:rPr>
                <w:rFonts w:ascii="Times New Roman" w:hAnsi="Times New Roman"/>
                <w:bCs/>
                <w:color w:val="000000"/>
                <w:sz w:val="20"/>
                <w:szCs w:val="20"/>
                <w:lang w:eastAsia="ru-RU"/>
              </w:rPr>
              <w:t>19 п) о паспортах услуг (процессов) согласно единым стандартам качества обслуживания сетевыми организациями потребителей услуг сетевых организаций. Под паспортом услуги (процесса) понимается документ, содержащий систематизированную в хронологическом порядке информацию об этапах и о сроках оказываемой потребителям услуги (осуществляемого процесса), порядок определения стоимости, если законодательством Российской Федерации предусмотрено взимание платы за исполнение услуги (процесса), а также описание результата с указанием нормативных правовых актов, регламентирующих оказание соответствующей услуги (осуществление процесса);</w:t>
            </w:r>
          </w:p>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2601" w:type="dxa"/>
            <w:gridSpan w:val="3"/>
            <w:tcBorders>
              <w:right w:val="single" w:sz="6" w:space="0" w:color="E9ECF1"/>
            </w:tcBorders>
            <w:shd w:color="auto" w:fill="FFFFFF" w:val="clear"/>
            <w:tcMar>
              <w:top w:w="0" w:type="dxa"/>
              <w:bottom w:w="0" w:type="dxa"/>
            </w:tcMar>
            <w:vAlign w:val="center"/>
          </w:tcPr>
          <w:p>
            <w:pPr>
              <w:pStyle w:val="Normal"/>
              <w:spacing w:lineRule="auto" w:line="240" w:before="0" w:after="0"/>
              <w:rPr/>
            </w:pPr>
            <w:r>
              <w:rPr>
                <w:b/>
              </w:rPr>
              <w:t>Файл 19 П</w:t>
            </w:r>
          </w:p>
          <w:p>
            <w:pPr>
              <w:pStyle w:val="Normal"/>
              <w:spacing w:lineRule="auto" w:line="240" w:before="0" w:after="0"/>
              <w:rPr>
                <w:color w:val="008000"/>
              </w:rPr>
            </w:pPr>
            <w:r>
              <w:rPr>
                <w:color w:val="008000"/>
              </w:rPr>
            </w:r>
          </w:p>
        </w:tc>
      </w:tr>
      <w:tr>
        <w:trPr/>
        <w:tc>
          <w:tcPr>
            <w:tcW w:w="839" w:type="dxa"/>
            <w:tcBorders>
              <w:left w:val="single" w:sz="6" w:space="0" w:color="E9ECF1"/>
            </w:tcBorders>
            <w:shd w:color="auto" w:fill="FFFFFF" w:val="clear"/>
            <w:tcMar>
              <w:top w:w="0" w:type="dxa"/>
              <w:left w:w="0" w:type="dxa"/>
              <w:bottom w:w="0" w:type="dxa"/>
              <w:right w:w="22" w:type="dxa"/>
            </w:tcMar>
            <w:vAlign w:val="cente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t>19</w:t>
            </w:r>
          </w:p>
        </w:tc>
        <w:tc>
          <w:tcPr>
            <w:tcW w:w="1260" w:type="dxa"/>
            <w:tcBorders/>
            <w:shd w:color="auto" w:fill="FFFFFF" w:val="clear"/>
            <w:tcMar>
              <w:top w:w="0" w:type="dxa"/>
              <w:bottom w:w="0" w:type="dxa"/>
            </w:tcMar>
            <w:vAlign w:val="cente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t>р</w:t>
            </w:r>
          </w:p>
        </w:tc>
        <w:tc>
          <w:tcPr>
            <w:tcW w:w="1079" w:type="dxa"/>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3779" w:type="dxa"/>
            <w:gridSpan w:val="2"/>
            <w:tcBorders/>
            <w:shd w:color="auto" w:fill="FFFFFF" w:val="clear"/>
            <w:tcMar>
              <w:top w:w="57" w:type="dxa"/>
              <w:left w:w="57" w:type="dxa"/>
              <w:bottom w:w="57" w:type="dxa"/>
              <w:right w:w="57"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xml:space="preserve">В течение </w:t>
            </w:r>
            <w:r>
              <w:rPr>
                <w:rFonts w:ascii="Times New Roman" w:hAnsi="Times New Roman"/>
                <w:b/>
                <w:sz w:val="20"/>
                <w:szCs w:val="20"/>
                <w:lang w:eastAsia="ru-RU"/>
              </w:rPr>
              <w:t>5 рабочих дней</w:t>
            </w:r>
            <w:r>
              <w:rPr>
                <w:rFonts w:ascii="Times New Roman" w:hAnsi="Times New Roman"/>
                <w:sz w:val="20"/>
                <w:szCs w:val="20"/>
                <w:lang w:eastAsia="ru-RU"/>
              </w:rPr>
              <w:t xml:space="preserve"> со дня получения заявления от лица, намеревающегося осуществить перераспределение макси-мальной мощности  принадлежащих ему энергопринимающих устройств в пользу иных лиц </w:t>
            </w:r>
            <w:r>
              <w:rPr>
                <w:rFonts w:ascii="Times New Roman" w:hAnsi="Times New Roman"/>
                <w:b/>
                <w:sz w:val="20"/>
                <w:szCs w:val="20"/>
                <w:lang w:eastAsia="ru-RU"/>
              </w:rPr>
              <w:t>на сайте</w:t>
            </w:r>
            <w:r>
              <w:rPr>
                <w:rFonts w:ascii="Times New Roman" w:hAnsi="Times New Roman"/>
                <w:sz w:val="20"/>
                <w:szCs w:val="20"/>
                <w:lang w:eastAsia="ru-RU"/>
              </w:rPr>
              <w:t>.</w:t>
            </w:r>
          </w:p>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r>
          </w:p>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xml:space="preserve"> </w:t>
            </w:r>
            <w:r>
              <w:rPr>
                <w:rFonts w:ascii="Times New Roman" w:hAnsi="Times New Roman"/>
                <w:sz w:val="20"/>
                <w:szCs w:val="20"/>
                <w:lang w:eastAsia="ru-RU"/>
              </w:rPr>
              <w:t xml:space="preserve">В течении </w:t>
            </w:r>
            <w:r>
              <w:rPr>
                <w:rFonts w:ascii="Times New Roman" w:hAnsi="Times New Roman"/>
                <w:b/>
                <w:sz w:val="20"/>
                <w:szCs w:val="20"/>
                <w:lang w:eastAsia="ru-RU"/>
              </w:rPr>
              <w:t>7 рабочих дней</w:t>
            </w:r>
            <w:r>
              <w:rPr>
                <w:rFonts w:ascii="Times New Roman" w:hAnsi="Times New Roman"/>
                <w:sz w:val="20"/>
                <w:szCs w:val="20"/>
                <w:lang w:eastAsia="ru-RU"/>
              </w:rPr>
              <w:t xml:space="preserve"> с момента получения письменного запроса –  </w:t>
            </w:r>
            <w:r>
              <w:rPr>
                <w:rFonts w:ascii="Times New Roman" w:hAnsi="Times New Roman"/>
                <w:b/>
                <w:sz w:val="20"/>
                <w:szCs w:val="20"/>
                <w:lang w:eastAsia="ru-RU"/>
              </w:rPr>
              <w:t>по письменному запросу</w:t>
            </w:r>
            <w:r>
              <w:rPr>
                <w:rFonts w:ascii="Times New Roman" w:hAnsi="Times New Roman"/>
                <w:sz w:val="20"/>
                <w:szCs w:val="20"/>
                <w:lang w:eastAsia="ru-RU"/>
              </w:rPr>
              <w:t xml:space="preserve"> заинтересованных лиц</w:t>
            </w:r>
          </w:p>
        </w:tc>
        <w:tc>
          <w:tcPr>
            <w:tcW w:w="5141" w:type="dxa"/>
            <w:gridSpan w:val="2"/>
            <w:tcBorders/>
            <w:shd w:color="auto" w:fill="FFFFFF" w:val="clear"/>
            <w:vAlign w:val="center"/>
          </w:tcPr>
          <w:p>
            <w:pPr>
              <w:pStyle w:val="Normal"/>
              <w:spacing w:lineRule="auto" w:line="240" w:before="0" w:after="0"/>
              <w:rPr>
                <w:rFonts w:ascii="Times New Roman" w:hAnsi="Times New Roman"/>
                <w:bCs/>
                <w:color w:val="000000"/>
                <w:sz w:val="20"/>
                <w:szCs w:val="20"/>
                <w:lang w:eastAsia="ru-RU"/>
              </w:rPr>
            </w:pPr>
            <w:r>
              <w:rPr>
                <w:rFonts w:ascii="Times New Roman" w:hAnsi="Times New Roman"/>
                <w:bCs/>
                <w:color w:val="000000"/>
                <w:sz w:val="20"/>
                <w:szCs w:val="20"/>
                <w:lang w:eastAsia="ru-RU"/>
              </w:rPr>
              <w:t>19 р) о лицах, намеревающихся перераспределить максимальную мощность принадлежащих им энергопринимающих устройств в пользу иных лиц, включая:</w:t>
            </w:r>
          </w:p>
          <w:p>
            <w:pPr>
              <w:pStyle w:val="Normal"/>
              <w:spacing w:lineRule="auto" w:line="240" w:before="0" w:after="0"/>
              <w:rPr>
                <w:rFonts w:ascii="Times New Roman" w:hAnsi="Times New Roman"/>
                <w:bCs/>
                <w:color w:val="000000"/>
                <w:sz w:val="20"/>
                <w:szCs w:val="20"/>
                <w:lang w:eastAsia="ru-RU"/>
              </w:rPr>
            </w:pPr>
            <w:r>
              <w:rPr>
                <w:rFonts w:ascii="Times New Roman" w:hAnsi="Times New Roman"/>
                <w:bCs/>
                <w:color w:val="000000"/>
                <w:sz w:val="20"/>
                <w:szCs w:val="20"/>
                <w:lang w:eastAsia="ru-RU"/>
              </w:rPr>
              <w:t>наименование лица, которое намеревается осуществить перераспределение максимальной мощности принадлежащих ему энергопринимающих устройств, и его контактные данные;</w:t>
            </w:r>
          </w:p>
          <w:p>
            <w:pPr>
              <w:pStyle w:val="Normal"/>
              <w:spacing w:lineRule="auto" w:line="240" w:before="0" w:after="0"/>
              <w:rPr>
                <w:rFonts w:ascii="Times New Roman" w:hAnsi="Times New Roman"/>
                <w:bCs/>
                <w:color w:val="000000"/>
                <w:sz w:val="20"/>
                <w:szCs w:val="20"/>
                <w:lang w:eastAsia="ru-RU"/>
              </w:rPr>
            </w:pPr>
            <w:r>
              <w:rPr>
                <w:rFonts w:ascii="Times New Roman" w:hAnsi="Times New Roman"/>
                <w:bCs/>
                <w:color w:val="000000"/>
                <w:sz w:val="20"/>
                <w:szCs w:val="20"/>
                <w:lang w:eastAsia="ru-RU"/>
              </w:rPr>
              <w:t>объем планируемой к перераспределению максимальной мощности;</w:t>
            </w:r>
          </w:p>
          <w:p>
            <w:pPr>
              <w:pStyle w:val="Normal"/>
              <w:spacing w:lineRule="auto" w:line="240" w:before="0" w:after="0"/>
              <w:rPr>
                <w:rFonts w:ascii="Times New Roman" w:hAnsi="Times New Roman"/>
                <w:sz w:val="20"/>
                <w:szCs w:val="20"/>
                <w:lang w:eastAsia="ru-RU"/>
              </w:rPr>
            </w:pPr>
            <w:r>
              <w:rPr>
                <w:rFonts w:ascii="Times New Roman" w:hAnsi="Times New Roman"/>
                <w:bCs/>
                <w:color w:val="000000"/>
                <w:sz w:val="20"/>
                <w:szCs w:val="20"/>
                <w:lang w:eastAsia="ru-RU"/>
              </w:rPr>
              <w:t>наименование и место нахождения центра питания;</w:t>
            </w:r>
          </w:p>
        </w:tc>
        <w:tc>
          <w:tcPr>
            <w:tcW w:w="2601" w:type="dxa"/>
            <w:gridSpan w:val="3"/>
            <w:tcBorders>
              <w:right w:val="single" w:sz="6" w:space="0" w:color="E9ECF1"/>
            </w:tcBorders>
            <w:shd w:color="auto" w:fill="FFFFFF" w:val="clear"/>
            <w:tcMar>
              <w:top w:w="0" w:type="dxa"/>
              <w:bottom w:w="0" w:type="dxa"/>
            </w:tcMar>
            <w:vAlign w:val="center"/>
          </w:tcPr>
          <w:p>
            <w:pPr>
              <w:pStyle w:val="Normal"/>
              <w:spacing w:lineRule="auto" w:line="240" w:before="0" w:after="0"/>
              <w:rPr>
                <w:rFonts w:ascii="Times New Roman" w:hAnsi="Times New Roman"/>
                <w:b/>
                <w:b/>
                <w:color w:val="0000FF"/>
                <w:sz w:val="20"/>
                <w:szCs w:val="20"/>
                <w:lang w:eastAsia="ru-RU"/>
              </w:rPr>
            </w:pPr>
            <w:r>
              <w:rPr>
                <w:rFonts w:ascii="Times New Roman" w:hAnsi="Times New Roman"/>
                <w:b/>
                <w:color w:val="0000FF"/>
                <w:sz w:val="20"/>
                <w:szCs w:val="20"/>
                <w:lang w:eastAsia="ru-RU"/>
              </w:rPr>
            </w:r>
          </w:p>
          <w:p>
            <w:pPr>
              <w:pStyle w:val="Normal"/>
              <w:spacing w:lineRule="auto" w:line="240" w:before="0" w:after="0"/>
              <w:rPr>
                <w:rFonts w:ascii="Times New Roman" w:hAnsi="Times New Roman"/>
                <w:b/>
                <w:b/>
                <w:sz w:val="20"/>
                <w:szCs w:val="20"/>
                <w:lang w:eastAsia="ru-RU"/>
              </w:rPr>
            </w:pPr>
            <w:r>
              <w:rPr>
                <w:rFonts w:ascii="Times New Roman" w:hAnsi="Times New Roman"/>
                <w:b/>
                <w:sz w:val="20"/>
                <w:szCs w:val="20"/>
                <w:lang w:eastAsia="ru-RU"/>
              </w:rPr>
              <w:t>Размещение на сайте при наличии заявления.</w:t>
            </w:r>
          </w:p>
          <w:p>
            <w:pPr>
              <w:pStyle w:val="Normal"/>
              <w:spacing w:lineRule="auto" w:line="240" w:before="0" w:after="0"/>
              <w:rPr>
                <w:rFonts w:ascii="Times New Roman" w:hAnsi="Times New Roman"/>
                <w:b/>
                <w:b/>
                <w:sz w:val="20"/>
                <w:szCs w:val="20"/>
                <w:lang w:eastAsia="ru-RU"/>
              </w:rPr>
            </w:pPr>
            <w:r>
              <w:rPr>
                <w:rFonts w:ascii="Times New Roman" w:hAnsi="Times New Roman"/>
                <w:b/>
                <w:sz w:val="20"/>
                <w:szCs w:val="20"/>
                <w:lang w:eastAsia="ru-RU"/>
              </w:rPr>
            </w:r>
          </w:p>
          <w:p>
            <w:pPr>
              <w:pStyle w:val="Normal"/>
              <w:spacing w:lineRule="auto" w:line="240" w:before="0" w:after="0"/>
              <w:rPr>
                <w:rFonts w:ascii="Times New Roman" w:hAnsi="Times New Roman"/>
                <w:b/>
                <w:b/>
                <w:color w:val="0000FF"/>
                <w:sz w:val="20"/>
                <w:szCs w:val="20"/>
                <w:lang w:eastAsia="ru-RU"/>
              </w:rPr>
            </w:pPr>
            <w:r>
              <w:rPr>
                <w:rFonts w:ascii="Times New Roman" w:hAnsi="Times New Roman"/>
                <w:b/>
                <w:color w:val="0000FF"/>
                <w:sz w:val="20"/>
                <w:szCs w:val="20"/>
                <w:lang w:eastAsia="ru-RU"/>
              </w:rPr>
            </w:r>
          </w:p>
          <w:p>
            <w:pPr>
              <w:pStyle w:val="Normal"/>
              <w:spacing w:lineRule="auto" w:line="240" w:before="0" w:after="0"/>
              <w:rPr>
                <w:rFonts w:ascii="Times New Roman" w:hAnsi="Times New Roman"/>
                <w:b/>
                <w:b/>
                <w:color w:val="0000FF"/>
                <w:sz w:val="20"/>
                <w:szCs w:val="20"/>
                <w:lang w:eastAsia="ru-RU"/>
              </w:rPr>
            </w:pPr>
            <w:r>
              <w:rPr>
                <w:rFonts w:ascii="Times New Roman" w:hAnsi="Times New Roman"/>
                <w:b/>
                <w:color w:val="0000FF"/>
                <w:sz w:val="20"/>
                <w:szCs w:val="20"/>
                <w:lang w:eastAsia="ru-RU"/>
              </w:rPr>
            </w:r>
          </w:p>
          <w:p>
            <w:pPr>
              <w:pStyle w:val="Normal"/>
              <w:spacing w:lineRule="auto" w:line="240" w:before="0" w:after="0"/>
              <w:rPr>
                <w:rFonts w:ascii="Times New Roman" w:hAnsi="Times New Roman"/>
                <w:b/>
                <w:b/>
                <w:sz w:val="20"/>
                <w:szCs w:val="20"/>
                <w:lang w:eastAsia="ru-RU"/>
              </w:rPr>
            </w:pPr>
            <w:r>
              <w:rPr>
                <w:rFonts w:ascii="Times New Roman" w:hAnsi="Times New Roman"/>
                <w:b/>
                <w:sz w:val="20"/>
                <w:szCs w:val="20"/>
                <w:lang w:eastAsia="ru-RU"/>
              </w:rPr>
              <w:t>Направляеися при   наличии письменного запроса</w:t>
            </w:r>
          </w:p>
          <w:p>
            <w:pPr>
              <w:pStyle w:val="Normal"/>
              <w:spacing w:lineRule="auto" w:line="240" w:before="0" w:after="0"/>
              <w:rPr>
                <w:rFonts w:ascii="Times New Roman" w:hAnsi="Times New Roman"/>
                <w:b/>
                <w:b/>
                <w:sz w:val="20"/>
                <w:szCs w:val="20"/>
                <w:lang w:eastAsia="ru-RU"/>
              </w:rPr>
            </w:pPr>
            <w:r>
              <w:rPr>
                <w:rFonts w:ascii="Times New Roman" w:hAnsi="Times New Roman"/>
                <w:b/>
                <w:sz w:val="20"/>
                <w:szCs w:val="20"/>
                <w:lang w:eastAsia="ru-RU"/>
              </w:rPr>
            </w:r>
          </w:p>
          <w:p>
            <w:pPr>
              <w:pStyle w:val="Normal"/>
              <w:spacing w:lineRule="auto" w:line="240" w:before="0" w:after="0"/>
              <w:rPr/>
            </w:pPr>
            <w:r>
              <w:rPr/>
            </w:r>
          </w:p>
        </w:tc>
      </w:tr>
      <w:tr>
        <w:trPr/>
        <w:tc>
          <w:tcPr>
            <w:tcW w:w="839" w:type="dxa"/>
            <w:tcBorders>
              <w:left w:val="single" w:sz="6" w:space="0" w:color="E9ECF1"/>
            </w:tcBorders>
            <w:shd w:color="auto" w:fill="FFFFFF" w:val="clear"/>
            <w:tcMar>
              <w:top w:w="0" w:type="dxa"/>
              <w:left w:w="0" w:type="dxa"/>
              <w:bottom w:w="0" w:type="dxa"/>
              <w:right w:w="22" w:type="dxa"/>
            </w:tcMar>
            <w:vAlign w:val="cente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t>19</w:t>
            </w:r>
          </w:p>
        </w:tc>
        <w:tc>
          <w:tcPr>
            <w:tcW w:w="1260" w:type="dxa"/>
            <w:tcBorders/>
            <w:shd w:color="auto" w:fill="FFFFFF" w:val="clear"/>
            <w:tcMar>
              <w:top w:w="0" w:type="dxa"/>
              <w:bottom w:w="0" w:type="dxa"/>
            </w:tcMar>
            <w:vAlign w:val="cente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t>с</w:t>
            </w:r>
          </w:p>
        </w:tc>
        <w:tc>
          <w:tcPr>
            <w:tcW w:w="1079" w:type="dxa"/>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3779" w:type="dxa"/>
            <w:gridSpan w:val="2"/>
            <w:tcBorders/>
            <w:shd w:color="auto" w:fill="FFFFFF" w:val="clear"/>
            <w:tcMar>
              <w:top w:w="57" w:type="dxa"/>
              <w:left w:w="57" w:type="dxa"/>
              <w:bottom w:w="57" w:type="dxa"/>
              <w:right w:w="57"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r>
              <w:rPr>
                <w:rFonts w:ascii="Times New Roman" w:hAnsi="Times New Roman"/>
                <w:sz w:val="20"/>
                <w:szCs w:val="20"/>
                <w:lang w:eastAsia="ru-RU"/>
              </w:rPr>
              <w:t>до 1 апреля года, следующего за отчетным годом</w:t>
            </w:r>
          </w:p>
        </w:tc>
        <w:tc>
          <w:tcPr>
            <w:tcW w:w="5141" w:type="dxa"/>
            <w:gridSpan w:val="2"/>
            <w:tcBorders/>
            <w:shd w:color="auto" w:fill="FFFFFF" w:val="cle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19 с) о качестве обслуживания потребителей услуг сетевой организации - по форме, утвержденной уполномоченным Правительством Российской Федерации федеральным органом исполнительной власти; Информация указанная в п. 19 с Стандартов раскрывается по формам Приложение № 7  Приказа Минэнерго РФ от 15.04.2014 № 186 "О единых стандартах качества обслуживания сетевыми организациями потребителей услуг сетевых организаций".</w:t>
            </w:r>
          </w:p>
        </w:tc>
        <w:tc>
          <w:tcPr>
            <w:tcW w:w="2601" w:type="dxa"/>
            <w:gridSpan w:val="3"/>
            <w:tcBorders>
              <w:right w:val="single" w:sz="6" w:space="0" w:color="E9ECF1"/>
            </w:tcBorders>
            <w:shd w:color="auto" w:fill="FFFFFF" w:val="clear"/>
            <w:tcMar>
              <w:top w:w="0" w:type="dxa"/>
              <w:bottom w:w="0" w:type="dxa"/>
            </w:tcMar>
            <w:vAlign w:val="center"/>
          </w:tcPr>
          <w:p>
            <w:pPr>
              <w:pStyle w:val="Normal"/>
              <w:spacing w:lineRule="auto" w:line="240" w:before="0" w:after="0"/>
              <w:rPr/>
            </w:pPr>
            <w:r>
              <w:rPr>
                <w:b/>
              </w:rPr>
              <w:t>Файл 19 С</w:t>
            </w:r>
          </w:p>
          <w:p>
            <w:pPr>
              <w:pStyle w:val="Normal"/>
              <w:spacing w:lineRule="auto" w:line="240" w:before="0" w:after="0"/>
              <w:rPr>
                <w:rFonts w:ascii="Times New Roman" w:hAnsi="Times New Roman"/>
                <w:b/>
                <w:b/>
                <w:sz w:val="20"/>
                <w:szCs w:val="20"/>
                <w:lang w:eastAsia="ru-RU"/>
              </w:rPr>
            </w:pPr>
            <w:r>
              <w:rPr>
                <w:rFonts w:ascii="Times New Roman" w:hAnsi="Times New Roman"/>
                <w:b/>
                <w:sz w:val="20"/>
                <w:szCs w:val="20"/>
                <w:lang w:eastAsia="ru-RU"/>
              </w:rPr>
            </w:r>
          </w:p>
        </w:tc>
      </w:tr>
      <w:tr>
        <w:trPr/>
        <w:tc>
          <w:tcPr>
            <w:tcW w:w="839" w:type="dxa"/>
            <w:tcBorders>
              <w:left w:val="single" w:sz="6" w:space="0" w:color="E9ECF1"/>
            </w:tcBorders>
            <w:shd w:color="auto" w:fill="E9ECF1" w:val="clear"/>
            <w:tcMar>
              <w:top w:w="0" w:type="dxa"/>
              <w:left w:w="0" w:type="dxa"/>
              <w:bottom w:w="0" w:type="dxa"/>
              <w:right w:w="22" w:type="dxa"/>
            </w:tcMar>
            <w:vAlign w:val="cente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t>19</w:t>
            </w:r>
          </w:p>
        </w:tc>
        <w:tc>
          <w:tcPr>
            <w:tcW w:w="1260" w:type="dxa"/>
            <w:tcBorders/>
            <w:shd w:color="auto" w:fill="E9ECF1" w:val="clear"/>
            <w:tcMar>
              <w:top w:w="0" w:type="dxa"/>
              <w:bottom w:w="0" w:type="dxa"/>
            </w:tcMar>
            <w:vAlign w:val="cente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t>т</w:t>
            </w:r>
          </w:p>
        </w:tc>
        <w:tc>
          <w:tcPr>
            <w:tcW w:w="1079" w:type="dxa"/>
            <w:tcBorders/>
            <w:shd w:color="auto" w:fill="E9ECF1"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3779" w:type="dxa"/>
            <w:gridSpan w:val="2"/>
            <w:tcBorders/>
            <w:shd w:color="auto" w:fill="E9ECF1" w:val="clear"/>
            <w:tcMar>
              <w:top w:w="57" w:type="dxa"/>
              <w:left w:w="57" w:type="dxa"/>
              <w:bottom w:w="57" w:type="dxa"/>
              <w:right w:w="57"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r>
              <w:rPr>
                <w:rFonts w:ascii="Times New Roman" w:hAnsi="Times New Roman"/>
                <w:sz w:val="20"/>
                <w:szCs w:val="20"/>
                <w:lang w:eastAsia="ru-RU"/>
              </w:rPr>
              <w:t>Не реже одного раза в месяц</w:t>
            </w:r>
          </w:p>
        </w:tc>
        <w:tc>
          <w:tcPr>
            <w:tcW w:w="5141" w:type="dxa"/>
            <w:gridSpan w:val="2"/>
            <w:tcBorders/>
            <w:shd w:color="auto" w:fill="E9ECF1" w:val="cle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xml:space="preserve">19 т) об объеме и о стоимости электрической энергии (мощности) за расчетный период, приобретенной по каждому договору купли-продажи (поставки) электрической энергии (мощности) в целях компенсации потерь электрической энергии, заключенному с производителем электрической энергии (мощности) на розничном рынке электрической энергии, осуществляющим производство электрической энергии (мощности) на квалифицированных генерирующих объектах, функционирующих </w:t>
            </w:r>
            <w:r>
              <w:rPr>
                <w:rFonts w:ascii="Times New Roman" w:hAnsi="Times New Roman"/>
                <w:b/>
                <w:lang w:eastAsia="ru-RU"/>
              </w:rPr>
              <w:t>на основе использования возобновляемых источников энергии</w:t>
            </w:r>
            <w:r>
              <w:rPr>
                <w:rFonts w:ascii="Times New Roman" w:hAnsi="Times New Roman"/>
                <w:sz w:val="20"/>
                <w:szCs w:val="20"/>
                <w:lang w:eastAsia="ru-RU"/>
              </w:rPr>
              <w:t>, объемы которой подтверждены сертификатом, выданным советом рынка, с указанием наименования такого производителя</w:t>
            </w:r>
          </w:p>
        </w:tc>
        <w:tc>
          <w:tcPr>
            <w:tcW w:w="2601" w:type="dxa"/>
            <w:gridSpan w:val="3"/>
            <w:tcBorders>
              <w:right w:val="single" w:sz="6" w:space="0" w:color="E9ECF1"/>
            </w:tcBorders>
            <w:shd w:color="auto" w:fill="E9ECF1" w:val="clear"/>
            <w:tcMar>
              <w:top w:w="0" w:type="dxa"/>
              <w:bottom w:w="0" w:type="dxa"/>
            </w:tcMar>
            <w:vAlign w:val="center"/>
          </w:tcPr>
          <w:p>
            <w:pPr>
              <w:pStyle w:val="Normal"/>
              <w:spacing w:lineRule="auto" w:line="240" w:before="0" w:after="0"/>
              <w:rPr/>
            </w:pPr>
            <w:r>
              <w:rPr>
                <w:b/>
              </w:rPr>
              <w:t>Файл 19 Т</w:t>
            </w:r>
          </w:p>
          <w:p>
            <w:pPr>
              <w:pStyle w:val="Normal"/>
              <w:spacing w:lineRule="auto" w:line="240" w:before="0" w:after="0"/>
              <w:rPr>
                <w:rFonts w:ascii="Times New Roman" w:hAnsi="Times New Roman"/>
                <w:color w:val="0000FF"/>
                <w:sz w:val="20"/>
                <w:szCs w:val="20"/>
                <w:lang w:eastAsia="ru-RU"/>
              </w:rPr>
            </w:pPr>
            <w:r>
              <w:rPr>
                <w:rFonts w:ascii="Times New Roman" w:hAnsi="Times New Roman"/>
                <w:color w:val="0000FF"/>
                <w:sz w:val="20"/>
                <w:szCs w:val="20"/>
                <w:lang w:eastAsia="ru-RU"/>
              </w:rPr>
            </w:r>
          </w:p>
        </w:tc>
      </w:tr>
      <w:tr>
        <w:trPr/>
        <w:tc>
          <w:tcPr>
            <w:tcW w:w="839" w:type="dxa"/>
            <w:tcBorders>
              <w:left w:val="single" w:sz="6" w:space="0" w:color="E9ECF1"/>
            </w:tcBorders>
            <w:shd w:color="auto" w:fill="FFFFFF" w:val="clear"/>
            <w:tcMar>
              <w:top w:w="0" w:type="dxa"/>
              <w:left w:w="0" w:type="dxa"/>
              <w:bottom w:w="0" w:type="dxa"/>
              <w:right w:w="22" w:type="dxa"/>
            </w:tcMar>
            <w:vAlign w:val="cente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t xml:space="preserve">19 </w:t>
            </w:r>
          </w:p>
        </w:tc>
        <w:tc>
          <w:tcPr>
            <w:tcW w:w="1260" w:type="dxa"/>
            <w:tcBorders/>
            <w:shd w:color="auto" w:fill="FFFFFF" w:val="clear"/>
            <w:tcMar>
              <w:top w:w="0" w:type="dxa"/>
              <w:bottom w:w="0" w:type="dxa"/>
            </w:tcMar>
            <w:vAlign w:val="cente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t>у</w:t>
            </w:r>
          </w:p>
        </w:tc>
        <w:tc>
          <w:tcPr>
            <w:tcW w:w="1079" w:type="dxa"/>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3779" w:type="dxa"/>
            <w:gridSpan w:val="2"/>
            <w:tcBorders/>
            <w:shd w:color="auto" w:fill="FFFFFF" w:val="clear"/>
            <w:tcMar>
              <w:top w:w="57" w:type="dxa"/>
              <w:left w:w="57" w:type="dxa"/>
              <w:bottom w:w="57" w:type="dxa"/>
              <w:right w:w="57"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5141" w:type="dxa"/>
            <w:gridSpan w:val="2"/>
            <w:tcBorders/>
            <w:shd w:color="auto" w:fill="FFFFFF" w:val="clear"/>
            <w:vAlign w:val="center"/>
          </w:tcPr>
          <w:p>
            <w:pPr>
              <w:pStyle w:val="Normal"/>
              <w:spacing w:lineRule="auto" w:line="240" w:before="0" w:after="0"/>
              <w:rPr>
                <w:rFonts w:ascii="Times New Roman" w:hAnsi="Times New Roman"/>
                <w:bCs/>
                <w:color w:val="000000"/>
                <w:sz w:val="20"/>
                <w:szCs w:val="20"/>
                <w:lang w:eastAsia="ru-RU"/>
              </w:rPr>
            </w:pPr>
            <w:r>
              <w:rPr>
                <w:rFonts w:ascii="Times New Roman" w:hAnsi="Times New Roman"/>
                <w:sz w:val="20"/>
                <w:szCs w:val="20"/>
                <w:lang w:eastAsia="ru-RU"/>
              </w:rPr>
              <w:t xml:space="preserve">19 у) </w:t>
            </w:r>
            <w:r>
              <w:rPr>
                <w:rFonts w:ascii="Times New Roman" w:hAnsi="Times New Roman"/>
                <w:bCs/>
                <w:color w:val="000000"/>
                <w:sz w:val="20"/>
                <w:szCs w:val="20"/>
                <w:lang w:eastAsia="ru-RU"/>
              </w:rPr>
              <w:t>о выделенных оператором подвижной радиотелефонной связи абонентских номерах и (или) об адресах электронной почты, предназначенных для направления потребителю электрической энергии (мощности), потребителю услуг по передаче электрической энергии уведомления о введении полного и (или) частичного ограничения режима потребления электрической энергии.</w:t>
            </w:r>
          </w:p>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2601" w:type="dxa"/>
            <w:gridSpan w:val="3"/>
            <w:tcBorders>
              <w:right w:val="single" w:sz="6" w:space="0" w:color="E9ECF1"/>
            </w:tcBorders>
            <w:shd w:color="auto" w:fill="FFFFFF" w:val="clear"/>
            <w:tcMar>
              <w:top w:w="0" w:type="dxa"/>
              <w:bottom w:w="0" w:type="dxa"/>
            </w:tcMar>
            <w:vAlign w:val="center"/>
          </w:tcPr>
          <w:p>
            <w:pPr>
              <w:pStyle w:val="Normal"/>
              <w:spacing w:lineRule="auto" w:line="240" w:before="0" w:after="0"/>
              <w:rPr/>
            </w:pPr>
            <w:r>
              <w:rPr>
                <w:b/>
              </w:rPr>
              <w:t>Файл 19 У</w:t>
            </w:r>
          </w:p>
          <w:p>
            <w:pPr>
              <w:pStyle w:val="Normal"/>
              <w:spacing w:lineRule="auto" w:line="240" w:before="0" w:after="0"/>
              <w:rPr>
                <w:rFonts w:ascii="Times New Roman" w:hAnsi="Times New Roman"/>
                <w:color w:val="0000FF"/>
                <w:sz w:val="20"/>
                <w:szCs w:val="20"/>
                <w:lang w:eastAsia="ru-RU"/>
              </w:rPr>
            </w:pPr>
            <w:r>
              <w:rPr>
                <w:rFonts w:ascii="Times New Roman" w:hAnsi="Times New Roman"/>
                <w:color w:val="0000FF"/>
                <w:sz w:val="20"/>
                <w:szCs w:val="20"/>
                <w:lang w:eastAsia="ru-RU"/>
              </w:rPr>
            </w:r>
          </w:p>
        </w:tc>
      </w:tr>
      <w:tr>
        <w:trPr/>
        <w:tc>
          <w:tcPr>
            <w:tcW w:w="839" w:type="dxa"/>
            <w:tcBorders>
              <w:left w:val="single" w:sz="6" w:space="0" w:color="E9ECF1"/>
            </w:tcBorders>
            <w:shd w:color="auto" w:fill="FFFFFF" w:val="clear"/>
            <w:tcMar>
              <w:top w:w="0" w:type="dxa"/>
              <w:left w:w="0" w:type="dxa"/>
              <w:bottom w:w="0" w:type="dxa"/>
              <w:right w:w="22"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28 </w:t>
            </w:r>
          </w:p>
        </w:tc>
        <w:tc>
          <w:tcPr>
            <w:tcW w:w="1260" w:type="dxa"/>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079" w:type="dxa"/>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а</w:t>
            </w:r>
          </w:p>
        </w:tc>
        <w:tc>
          <w:tcPr>
            <w:tcW w:w="3779" w:type="dxa"/>
            <w:gridSpan w:val="2"/>
            <w:tcBorders/>
            <w:shd w:color="auto" w:fill="FFFFFF" w:val="clear"/>
            <w:tcMar>
              <w:top w:w="57" w:type="dxa"/>
              <w:left w:w="57" w:type="dxa"/>
              <w:bottom w:w="57" w:type="dxa"/>
              <w:right w:w="57"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5141" w:type="dxa"/>
            <w:gridSpan w:val="2"/>
            <w:tcBorders/>
            <w:shd w:color="auto" w:fill="FFFFFF" w:val="cle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а) информацию о расходах на строительство введенных в эксплуатацию объектов электросетевого хозяйства для целей технологического присоединения и реализации иных мероприятий инвестиционной программы территориальной сетевой организации, на подготовку и выдачу сетевой организацией технических условий и их согласование с системным оператором (субъектом оперативно-диспетчерского управления в технологически изолированных территориальных электроэнергетических системах), на проверку сетевой организацией выполнения заявителем технических условий в соответствии с разделом IX Правил технологического присоединения, а также в соответствии с методическими указаниями по определению размера платы за технологическое присоединение к электрическим сетям, утвержденными Федеральной антимонопольной службой;</w:t>
            </w:r>
          </w:p>
        </w:tc>
        <w:tc>
          <w:tcPr>
            <w:tcW w:w="2601" w:type="dxa"/>
            <w:gridSpan w:val="3"/>
            <w:tcBorders>
              <w:right w:val="single" w:sz="6" w:space="0" w:color="E9ECF1"/>
            </w:tcBorders>
            <w:shd w:color="auto" w:fill="FFFFFF" w:val="clear"/>
            <w:tcMar>
              <w:top w:w="0" w:type="dxa"/>
              <w:bottom w:w="0" w:type="dxa"/>
            </w:tcMar>
            <w:vAlign w:val="center"/>
          </w:tcPr>
          <w:p>
            <w:pPr>
              <w:pStyle w:val="Normal"/>
              <w:spacing w:lineRule="auto" w:line="240" w:before="0" w:after="0"/>
              <w:rPr>
                <w:rFonts w:ascii="Times New Roman" w:hAnsi="Times New Roman"/>
                <w:b/>
                <w:b/>
                <w:sz w:val="20"/>
                <w:szCs w:val="20"/>
                <w:lang w:eastAsia="ru-RU"/>
              </w:rPr>
            </w:pPr>
            <w:r>
              <w:rPr>
                <w:rFonts w:ascii="Times New Roman" w:hAnsi="Times New Roman"/>
                <w:b/>
                <w:sz w:val="20"/>
                <w:szCs w:val="20"/>
                <w:lang w:eastAsia="ru-RU"/>
              </w:rPr>
              <w:t>Инвестиционная программа отсутствует</w:t>
            </w:r>
          </w:p>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r>
      <w:tr>
        <w:trPr/>
        <w:tc>
          <w:tcPr>
            <w:tcW w:w="839" w:type="dxa"/>
            <w:tcBorders>
              <w:left w:val="single" w:sz="6" w:space="0" w:color="E9ECF1"/>
            </w:tcBorders>
            <w:shd w:color="auto" w:fill="E9ECF1" w:val="clear"/>
            <w:tcMar>
              <w:top w:w="0" w:type="dxa"/>
              <w:left w:w="0" w:type="dxa"/>
              <w:bottom w:w="0" w:type="dxa"/>
              <w:right w:w="22"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260" w:type="dxa"/>
            <w:tcBorders/>
            <w:shd w:color="auto" w:fill="E9ECF1"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079" w:type="dxa"/>
            <w:tcBorders/>
            <w:shd w:color="auto" w:fill="E9ECF1"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б</w:t>
            </w:r>
          </w:p>
        </w:tc>
        <w:tc>
          <w:tcPr>
            <w:tcW w:w="3779" w:type="dxa"/>
            <w:gridSpan w:val="2"/>
            <w:tcBorders/>
            <w:shd w:color="auto" w:fill="E9ECF1" w:val="clear"/>
            <w:tcMar>
              <w:top w:w="57" w:type="dxa"/>
              <w:left w:w="57" w:type="dxa"/>
              <w:bottom w:w="57" w:type="dxa"/>
              <w:right w:w="57"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5141" w:type="dxa"/>
            <w:gridSpan w:val="2"/>
            <w:tcBorders/>
            <w:shd w:color="auto" w:fill="E9ECF1" w:val="cle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б) информацию о решении органа исполнительной власти субъекта Российской Федерации в области государственного регулирования тарифов об установлении единых для всех территориальных сетевых организаций на территории субъекта Российской Федерации стандартизированных тарифных ставок, определяющих величину платы за технологическое присоединение к электрическим сетям территориальных сетевых организаций;</w:t>
            </w:r>
          </w:p>
        </w:tc>
        <w:tc>
          <w:tcPr>
            <w:tcW w:w="2601" w:type="dxa"/>
            <w:gridSpan w:val="3"/>
            <w:tcBorders>
              <w:right w:val="single" w:sz="6" w:space="0" w:color="E9ECF1"/>
            </w:tcBorders>
            <w:shd w:color="auto" w:fill="E9ECF1" w:val="clear"/>
            <w:tcMar>
              <w:top w:w="0" w:type="dxa"/>
              <w:bottom w:w="0" w:type="dxa"/>
            </w:tcMar>
            <w:vAlign w:val="center"/>
          </w:tcPr>
          <w:p>
            <w:pPr>
              <w:pStyle w:val="Normal"/>
              <w:spacing w:lineRule="auto" w:line="240" w:before="0" w:after="0"/>
              <w:rPr/>
            </w:pPr>
            <w:r>
              <w:rPr>
                <w:b/>
              </w:rPr>
              <w:t>Файл 19 А3</w:t>
            </w:r>
          </w:p>
          <w:p>
            <w:pPr>
              <w:pStyle w:val="Normal"/>
              <w:spacing w:lineRule="auto" w:line="240" w:before="0" w:after="0"/>
              <w:rPr/>
            </w:pPr>
            <w:hyperlink r:id="rId2" w:tgtFrame="_parent">
              <w:r>
                <w:rPr>
                  <w:rStyle w:val="ListLabel2"/>
                  <w:b/>
                </w:rPr>
                <w:t>Файл 19 А4</w:t>
              </w:r>
            </w:hyperlink>
          </w:p>
          <w:p>
            <w:pPr>
              <w:pStyle w:val="Normal"/>
              <w:spacing w:lineRule="auto" w:line="240" w:before="0" w:after="0"/>
              <w:rPr>
                <w:b/>
                <w:b/>
                <w:color w:val="0000FF"/>
              </w:rPr>
            </w:pPr>
            <w:hyperlink r:id="rId3" w:tgtFrame="_parent">
              <w:r>
                <w:rPr>
                  <w:rStyle w:val="ListLabel2"/>
                  <w:b/>
                  <w:color w:val="0000FF"/>
                </w:rPr>
                <w:t xml:space="preserve"> </w:t>
              </w:r>
            </w:hyperlink>
          </w:p>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r>
      <w:tr>
        <w:trPr/>
        <w:tc>
          <w:tcPr>
            <w:tcW w:w="839" w:type="dxa"/>
            <w:tcBorders>
              <w:left w:val="single" w:sz="6" w:space="0" w:color="E9ECF1"/>
            </w:tcBorders>
            <w:shd w:color="auto" w:fill="FFFFFF" w:val="clear"/>
            <w:tcMar>
              <w:top w:w="0" w:type="dxa"/>
              <w:left w:w="0" w:type="dxa"/>
              <w:bottom w:w="0" w:type="dxa"/>
              <w:right w:w="22"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260" w:type="dxa"/>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079" w:type="dxa"/>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в</w:t>
            </w:r>
          </w:p>
        </w:tc>
        <w:tc>
          <w:tcPr>
            <w:tcW w:w="3779" w:type="dxa"/>
            <w:gridSpan w:val="2"/>
            <w:tcBorders/>
            <w:shd w:color="auto" w:fill="FFFFFF" w:val="clear"/>
            <w:tcMar>
              <w:top w:w="57" w:type="dxa"/>
              <w:left w:w="57" w:type="dxa"/>
              <w:bottom w:w="57" w:type="dxa"/>
              <w:right w:w="57"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5141" w:type="dxa"/>
            <w:gridSpan w:val="2"/>
            <w:tcBorders/>
            <w:shd w:color="auto" w:fill="FFFFFF" w:val="cle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в) информацию о фактических средних данных о присоединенных объемах максимальной мощности за 3 предыдущих года по каждому мероприятию по форме согласно приложению N 2;</w:t>
            </w:r>
          </w:p>
        </w:tc>
        <w:tc>
          <w:tcPr>
            <w:tcW w:w="2601" w:type="dxa"/>
            <w:gridSpan w:val="3"/>
            <w:tcBorders>
              <w:right w:val="single" w:sz="6" w:space="0" w:color="E9ECF1"/>
            </w:tcBorders>
            <w:shd w:color="auto" w:fill="FFFFFF" w:val="clear"/>
            <w:tcMar>
              <w:top w:w="0" w:type="dxa"/>
              <w:bottom w:w="0" w:type="dxa"/>
            </w:tcMar>
            <w:vAlign w:val="center"/>
          </w:tcPr>
          <w:p>
            <w:pPr>
              <w:pStyle w:val="Normal"/>
              <w:spacing w:lineRule="auto" w:line="240" w:before="0" w:after="0"/>
              <w:rPr/>
            </w:pPr>
            <w:r>
              <w:rPr>
                <w:b/>
              </w:rPr>
              <w:t>Файл 28 В</w:t>
            </w:r>
          </w:p>
          <w:p>
            <w:pPr>
              <w:pStyle w:val="Normal"/>
              <w:spacing w:lineRule="auto" w:line="240" w:before="0" w:after="0"/>
              <w:rPr>
                <w:rFonts w:ascii="Times New Roman" w:hAnsi="Times New Roman"/>
                <w:b/>
                <w:b/>
                <w:color w:val="0000FF"/>
                <w:sz w:val="20"/>
                <w:szCs w:val="20"/>
                <w:lang w:eastAsia="ru-RU"/>
              </w:rPr>
            </w:pPr>
            <w:r>
              <w:rPr>
                <w:rFonts w:ascii="Times New Roman" w:hAnsi="Times New Roman"/>
                <w:b/>
                <w:color w:val="0000FF"/>
                <w:sz w:val="20"/>
                <w:szCs w:val="20"/>
                <w:lang w:eastAsia="ru-RU"/>
              </w:rPr>
            </w:r>
          </w:p>
        </w:tc>
      </w:tr>
      <w:tr>
        <w:trPr/>
        <w:tc>
          <w:tcPr>
            <w:tcW w:w="839" w:type="dxa"/>
            <w:tcBorders>
              <w:left w:val="single" w:sz="6" w:space="0" w:color="E9ECF1"/>
            </w:tcBorders>
            <w:shd w:color="auto" w:fill="E9ECF1" w:val="clear"/>
            <w:tcMar>
              <w:top w:w="0" w:type="dxa"/>
              <w:left w:w="0" w:type="dxa"/>
              <w:bottom w:w="0" w:type="dxa"/>
              <w:right w:w="22"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260" w:type="dxa"/>
            <w:tcBorders/>
            <w:shd w:color="auto" w:fill="E9ECF1"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079" w:type="dxa"/>
            <w:tcBorders/>
            <w:shd w:color="auto" w:fill="E9ECF1"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г</w:t>
            </w:r>
          </w:p>
        </w:tc>
        <w:tc>
          <w:tcPr>
            <w:tcW w:w="3779" w:type="dxa"/>
            <w:gridSpan w:val="2"/>
            <w:tcBorders/>
            <w:shd w:color="auto" w:fill="E9ECF1" w:val="clear"/>
            <w:tcMar>
              <w:top w:w="57" w:type="dxa"/>
              <w:left w:w="57" w:type="dxa"/>
              <w:bottom w:w="57" w:type="dxa"/>
              <w:right w:w="57"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5141" w:type="dxa"/>
            <w:gridSpan w:val="2"/>
            <w:tcBorders/>
            <w:shd w:color="auto" w:fill="E9ECF1" w:val="cle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г) информацию о фактических средних данных о длине линий электропередачи и об объемах максимальной мощности построенных объектов за 3 предыдущих года по каждому мероприятию по форме согласно приложению N 3;</w:t>
            </w:r>
          </w:p>
        </w:tc>
        <w:tc>
          <w:tcPr>
            <w:tcW w:w="2601" w:type="dxa"/>
            <w:gridSpan w:val="3"/>
            <w:tcBorders>
              <w:right w:val="single" w:sz="6" w:space="0" w:color="E9ECF1"/>
            </w:tcBorders>
            <w:shd w:color="auto" w:fill="E9ECF1" w:val="clear"/>
            <w:tcMar>
              <w:top w:w="0" w:type="dxa"/>
              <w:bottom w:w="0" w:type="dxa"/>
            </w:tcMar>
            <w:vAlign w:val="center"/>
          </w:tcPr>
          <w:p>
            <w:pPr>
              <w:pStyle w:val="Normal"/>
              <w:spacing w:lineRule="auto" w:line="240" w:before="0" w:after="0"/>
              <w:rPr/>
            </w:pPr>
            <w:r>
              <w:rPr>
                <w:b/>
              </w:rPr>
              <w:t>Файл 28 Г</w:t>
            </w:r>
          </w:p>
          <w:p>
            <w:pPr>
              <w:pStyle w:val="Normal"/>
              <w:spacing w:lineRule="auto" w:line="240" w:before="0" w:after="0"/>
              <w:rPr>
                <w:rFonts w:ascii="Times New Roman" w:hAnsi="Times New Roman"/>
                <w:b/>
                <w:b/>
                <w:color w:val="0000FF"/>
                <w:sz w:val="20"/>
                <w:szCs w:val="20"/>
                <w:lang w:eastAsia="ru-RU"/>
              </w:rPr>
            </w:pPr>
            <w:r>
              <w:rPr>
                <w:rFonts w:ascii="Times New Roman" w:hAnsi="Times New Roman"/>
                <w:b/>
                <w:color w:val="0000FF"/>
                <w:sz w:val="20"/>
                <w:szCs w:val="20"/>
                <w:lang w:eastAsia="ru-RU"/>
              </w:rPr>
            </w:r>
          </w:p>
        </w:tc>
      </w:tr>
      <w:tr>
        <w:trPr/>
        <w:tc>
          <w:tcPr>
            <w:tcW w:w="839" w:type="dxa"/>
            <w:tcBorders>
              <w:left w:val="single" w:sz="6" w:space="0" w:color="E9ECF1"/>
            </w:tcBorders>
            <w:shd w:color="auto" w:fill="FFFFFF" w:val="clear"/>
            <w:tcMar>
              <w:top w:w="0" w:type="dxa"/>
              <w:left w:w="0" w:type="dxa"/>
              <w:bottom w:w="0" w:type="dxa"/>
              <w:right w:w="22"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260" w:type="dxa"/>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079" w:type="dxa"/>
            <w:tcBorders/>
            <w:shd w:color="auto" w:fill="FFFFFF"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д</w:t>
            </w:r>
          </w:p>
        </w:tc>
        <w:tc>
          <w:tcPr>
            <w:tcW w:w="3779" w:type="dxa"/>
            <w:gridSpan w:val="2"/>
            <w:tcBorders/>
            <w:shd w:color="auto" w:fill="FFFFFF" w:val="clear"/>
            <w:tcMar>
              <w:top w:w="57" w:type="dxa"/>
              <w:left w:w="57" w:type="dxa"/>
              <w:bottom w:w="57" w:type="dxa"/>
              <w:right w:w="57"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5141" w:type="dxa"/>
            <w:gridSpan w:val="2"/>
            <w:tcBorders/>
            <w:shd w:color="auto" w:fill="FFFFFF" w:val="cle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д) информацию об осуществлении технологического присоединения по договорам, заключенным за текущий год, по форме согласно приложению N 4;</w:t>
            </w:r>
          </w:p>
        </w:tc>
        <w:tc>
          <w:tcPr>
            <w:tcW w:w="2601" w:type="dxa"/>
            <w:gridSpan w:val="3"/>
            <w:tcBorders>
              <w:right w:val="single" w:sz="6" w:space="0" w:color="E9ECF1"/>
            </w:tcBorders>
            <w:shd w:color="auto" w:fill="FFFFFF" w:val="clear"/>
            <w:tcMar>
              <w:top w:w="0" w:type="dxa"/>
              <w:bottom w:w="0" w:type="dxa"/>
            </w:tcMar>
            <w:vAlign w:val="center"/>
          </w:tcPr>
          <w:p>
            <w:pPr>
              <w:pStyle w:val="Normal"/>
              <w:spacing w:lineRule="auto" w:line="240" w:before="0" w:after="0"/>
              <w:rPr/>
            </w:pPr>
            <w:r>
              <w:rPr>
                <w:b/>
              </w:rPr>
              <w:t>Файл 28 Д</w:t>
            </w:r>
          </w:p>
          <w:p>
            <w:pPr>
              <w:pStyle w:val="Normal"/>
              <w:spacing w:lineRule="auto" w:line="240" w:before="0" w:after="0"/>
              <w:rPr>
                <w:rFonts w:ascii="Times New Roman" w:hAnsi="Times New Roman"/>
                <w:b/>
                <w:b/>
                <w:color w:val="0000FF"/>
                <w:sz w:val="20"/>
                <w:szCs w:val="20"/>
                <w:lang w:eastAsia="ru-RU"/>
              </w:rPr>
            </w:pPr>
            <w:r>
              <w:rPr>
                <w:rFonts w:ascii="Times New Roman" w:hAnsi="Times New Roman"/>
                <w:b/>
                <w:color w:val="0000FF"/>
                <w:sz w:val="20"/>
                <w:szCs w:val="20"/>
                <w:lang w:eastAsia="ru-RU"/>
              </w:rPr>
            </w:r>
          </w:p>
        </w:tc>
      </w:tr>
      <w:tr>
        <w:trPr/>
        <w:tc>
          <w:tcPr>
            <w:tcW w:w="839" w:type="dxa"/>
            <w:tcBorders>
              <w:left w:val="single" w:sz="6" w:space="0" w:color="E9ECF1"/>
            </w:tcBorders>
            <w:shd w:color="auto" w:fill="E9ECF1" w:val="clear"/>
            <w:tcMar>
              <w:top w:w="0" w:type="dxa"/>
              <w:left w:w="0" w:type="dxa"/>
              <w:bottom w:w="0" w:type="dxa"/>
              <w:right w:w="22"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260" w:type="dxa"/>
            <w:tcBorders/>
            <w:shd w:color="auto" w:fill="E9ECF1"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1079" w:type="dxa"/>
            <w:tcBorders/>
            <w:shd w:color="auto" w:fill="E9ECF1" w:val="clear"/>
            <w:tcMar>
              <w:top w:w="0" w:type="dxa"/>
              <w:bottom w:w="0"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е</w:t>
            </w:r>
          </w:p>
        </w:tc>
        <w:tc>
          <w:tcPr>
            <w:tcW w:w="3779" w:type="dxa"/>
            <w:gridSpan w:val="2"/>
            <w:tcBorders/>
            <w:shd w:color="auto" w:fill="E9ECF1" w:val="clear"/>
            <w:tcMar>
              <w:top w:w="57" w:type="dxa"/>
              <w:left w:w="57" w:type="dxa"/>
              <w:bottom w:w="57" w:type="dxa"/>
              <w:right w:w="57" w:type="dxa"/>
            </w:tcM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p>
        </w:tc>
        <w:tc>
          <w:tcPr>
            <w:tcW w:w="5141" w:type="dxa"/>
            <w:gridSpan w:val="2"/>
            <w:tcBorders/>
            <w:shd w:color="auto" w:fill="E9ECF1" w:val="clear"/>
            <w:vAlign w:val="center"/>
          </w:tcPr>
          <w:p>
            <w:pPr>
              <w:pStyle w:val="Normal"/>
              <w:spacing w:lineRule="auto" w:line="240" w:before="0" w:after="0"/>
              <w:rPr>
                <w:rFonts w:ascii="Times New Roman" w:hAnsi="Times New Roman"/>
                <w:sz w:val="20"/>
                <w:szCs w:val="20"/>
                <w:lang w:eastAsia="ru-RU"/>
              </w:rPr>
            </w:pPr>
            <w:r>
              <w:rPr>
                <w:rFonts w:ascii="Times New Roman" w:hAnsi="Times New Roman"/>
                <w:sz w:val="20"/>
                <w:szCs w:val="20"/>
                <w:lang w:eastAsia="ru-RU"/>
              </w:rPr>
              <w:t>е) информацию о поданных заявках на технологическое присоединение за текущий год по форме согласно приложению N 5.</w:t>
            </w:r>
          </w:p>
        </w:tc>
        <w:tc>
          <w:tcPr>
            <w:tcW w:w="2601" w:type="dxa"/>
            <w:gridSpan w:val="3"/>
            <w:tcBorders>
              <w:right w:val="single" w:sz="6" w:space="0" w:color="E9ECF1"/>
            </w:tcBorders>
            <w:shd w:color="auto" w:fill="E9ECF1" w:val="clear"/>
            <w:tcMar>
              <w:top w:w="0" w:type="dxa"/>
              <w:bottom w:w="0" w:type="dxa"/>
            </w:tcMar>
            <w:vAlign w:val="center"/>
          </w:tcPr>
          <w:p>
            <w:pPr>
              <w:pStyle w:val="Normal"/>
              <w:spacing w:lineRule="auto" w:line="240" w:before="0" w:after="0"/>
              <w:rPr/>
            </w:pPr>
            <w:r>
              <w:rPr>
                <w:b/>
              </w:rPr>
              <w:t>Файл 28 Е</w:t>
            </w:r>
          </w:p>
          <w:p>
            <w:pPr>
              <w:pStyle w:val="Normal"/>
              <w:spacing w:lineRule="auto" w:line="240" w:before="0" w:after="0"/>
              <w:rPr>
                <w:rFonts w:ascii="Times New Roman" w:hAnsi="Times New Roman"/>
                <w:b/>
                <w:b/>
                <w:color w:val="0000FF"/>
                <w:sz w:val="20"/>
                <w:szCs w:val="20"/>
                <w:lang w:eastAsia="ru-RU"/>
              </w:rPr>
            </w:pPr>
            <w:r>
              <w:rPr>
                <w:rFonts w:ascii="Times New Roman" w:hAnsi="Times New Roman"/>
                <w:b/>
                <w:color w:val="0000FF"/>
                <w:sz w:val="20"/>
                <w:szCs w:val="20"/>
                <w:lang w:eastAsia="ru-RU"/>
              </w:rPr>
            </w:r>
          </w:p>
        </w:tc>
      </w:tr>
    </w:tbl>
    <w:p>
      <w:pPr>
        <w:pStyle w:val="Normal"/>
        <w:widowControl/>
        <w:bidi w:val="0"/>
        <w:spacing w:lineRule="auto" w:line="276" w:before="0" w:after="200"/>
        <w:jc w:val="left"/>
        <w:rPr/>
      </w:pPr>
      <w:r>
        <w:rPr/>
      </w:r>
    </w:p>
    <w:sectPr>
      <w:type w:val="nextPage"/>
      <w:pgSz w:orient="landscape" w:w="16838" w:h="11906"/>
      <w:pgMar w:left="1134" w:right="1134" w:header="0" w:top="1701" w:footer="0" w:bottom="85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swiss"/>
    <w:pitch w:val="variable"/>
  </w:font>
  <w:font w:name="Arial">
    <w:charset w:val="cc"/>
    <w:family w:val="roman"/>
    <w:pitch w:val="variable"/>
  </w:font>
  <w:font w:name="Times New Roman">
    <w:charset w:val="cc"/>
    <w:family w:val="roman"/>
    <w:pitch w:val="variable"/>
  </w:font>
</w:fonts>
</file>

<file path=word/settings.xml><?xml version="1.0" encoding="utf-8"?>
<w:settings xmlns:w="http://schemas.openxmlformats.org/wordprocessingml/2006/main">
  <w:zoom w:percent="100"/>
  <w:defaultTabStop w:val="708"/>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sz w:val="22"/>
        <w:szCs w:val="22"/>
        <w:lang w:val="ru-RU" w:eastAsia="ru-RU" w:bidi="ar-SA"/>
      </w:rPr>
    </w:rPrDefault>
    <w:pPrDefault>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a02fe6"/>
    <w:pPr>
      <w:widowControl/>
      <w:bidi w:val="0"/>
      <w:spacing w:lineRule="auto" w:line="276" w:before="0" w:after="200"/>
      <w:jc w:val="left"/>
    </w:pPr>
    <w:rPr>
      <w:rFonts w:ascii="Calibri" w:hAnsi="Calibri" w:eastAsia="Calibri" w:cs="Times New Roman"/>
      <w:color w:val="auto"/>
      <w:kern w:val="0"/>
      <w:sz w:val="22"/>
      <w:szCs w:val="22"/>
      <w:lang w:eastAsia="en-US" w:val="ru-RU" w:bidi="ar-SA"/>
    </w:rPr>
  </w:style>
  <w:style w:type="character" w:styleId="DefaultParagraphFont" w:default="1">
    <w:name w:val="Default Paragraph Font"/>
    <w:uiPriority w:val="99"/>
    <w:semiHidden/>
    <w:qFormat/>
    <w:rPr/>
  </w:style>
  <w:style w:type="character" w:styleId="Style14">
    <w:name w:val="Интернет-ссылка"/>
    <w:basedOn w:val="DefaultParagraphFont"/>
    <w:uiPriority w:val="99"/>
    <w:rsid w:val="00bd158c"/>
    <w:rPr>
      <w:rFonts w:cs="Times New Roman"/>
      <w:color w:val="0000FF"/>
      <w:u w:val="single"/>
    </w:rPr>
  </w:style>
  <w:style w:type="character" w:styleId="ListLabel1">
    <w:name w:val="ListLabel 1"/>
    <w:qFormat/>
    <w:rPr>
      <w:b/>
    </w:rPr>
  </w:style>
  <w:style w:type="character" w:styleId="ListLabel2">
    <w:name w:val="ListLabel 2"/>
    <w:qFormat/>
    <w:rPr>
      <w:b/>
      <w:color w:val="0000FF"/>
    </w:rPr>
  </w:style>
  <w:style w:type="paragraph" w:styleId="Style15">
    <w:name w:val="Заголовок"/>
    <w:basedOn w:val="Normal"/>
    <w:next w:val="Style16"/>
    <w:qFormat/>
    <w:pPr>
      <w:keepNext w:val="true"/>
      <w:spacing w:before="240" w:after="120"/>
    </w:pPr>
    <w:rPr>
      <w:rFonts w:ascii="Liberation Sans" w:hAnsi="Liberation Sans" w:eastAsia="Microsoft YaHei" w:cs="Arial"/>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Arial"/>
    </w:rPr>
  </w:style>
  <w:style w:type="paragraph" w:styleId="Style18">
    <w:name w:val="Caption"/>
    <w:basedOn w:val="Normal"/>
    <w:qFormat/>
    <w:pPr>
      <w:suppressLineNumbers/>
      <w:spacing w:before="120" w:after="120"/>
    </w:pPr>
    <w:rPr>
      <w:rFonts w:cs="Arial"/>
      <w:i/>
      <w:iCs/>
      <w:sz w:val="24"/>
      <w:szCs w:val="24"/>
    </w:rPr>
  </w:style>
  <w:style w:type="paragraph" w:styleId="Style19">
    <w:name w:val="Указатель"/>
    <w:basedOn w:val="Normal"/>
    <w:qFormat/>
    <w:pPr>
      <w:suppressLineNumbers/>
    </w:pPr>
    <w:rPr>
      <w:rFonts w:cs="Arial"/>
    </w:rPr>
  </w:style>
  <w:style w:type="numbering" w:styleId="NoList" w:default="1">
    <w:name w:val="No List"/>
    <w:uiPriority w:val="99"/>
    <w:semiHidden/>
    <w:unhideWhenUsed/>
    <w:qFormat/>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epmgroup.ru/ru/assets/uploads/docs/chelyabinsk/raskr/2020/02/19-a-postanovlenie-na-tarif-po-peredache.pdf" TargetMode="External"/><Relationship Id="rId3" Type="http://schemas.openxmlformats.org/officeDocument/2006/relationships/hyperlink" Target="https://www.epmgroup.ru/ru/assets/uploads/docs/chelyabinsk/raskr/2020/02/19-a-postanovlenie-na-tarif-po-peredache.pdf" TargetMode="Externa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20</TotalTime>
  <Application>LibreOffice/6.2.5.2$Windows_X86_64 LibreOffice_project/1ec314fa52f458adc18c4f025c545a4e8b22c159</Application>
  <Pages>19</Pages>
  <Words>4173</Words>
  <Characters>30770</Characters>
  <CharactersWithSpaces>34840</CharactersWithSpaces>
  <Paragraphs>360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2022-05-24T05:11:00Z</dcterms:created>
  <dc:creator>Михаил Николаевич Толстов</dc:creator>
  <dc:description/>
  <dc:language>ru-RU</dc:language>
  <cp:lastModifiedBy/>
  <dcterms:modified xsi:type="dcterms:W3CDTF">2022-06-27T13:24:29Z</dcterms:modified>
  <cp:revision>6</cp:revision>
  <dc:subject/>
  <dc:title>АО "ЭПМ-ЧЭЗ"</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